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DB8" w:rsidRDefault="00DE07BE" w:rsidP="007C092B">
      <w:pPr>
        <w:spacing w:after="240" w:line="280" w:lineRule="exact"/>
        <w:jc w:val="center"/>
        <w:rPr>
          <w:rFonts w:ascii="Arial" w:hAnsi="Arial" w:cs="Arial"/>
          <w:b/>
        </w:rPr>
      </w:pPr>
      <w:r w:rsidRPr="00586E55">
        <w:rPr>
          <w:rFonts w:ascii="Arial" w:hAnsi="Arial" w:cs="Arial"/>
          <w:b/>
        </w:rPr>
        <w:t>Long Association</w:t>
      </w:r>
      <w:r w:rsidR="00960CF8" w:rsidRPr="00586E55">
        <w:rPr>
          <w:rFonts w:ascii="Arial" w:hAnsi="Arial" w:cs="Arial"/>
          <w:b/>
        </w:rPr>
        <w:t>—Issues Paper</w:t>
      </w:r>
    </w:p>
    <w:tbl>
      <w:tblPr>
        <w:tblStyle w:val="TableGrid"/>
        <w:tblW w:w="0" w:type="auto"/>
        <w:tblLook w:val="04A0" w:firstRow="1" w:lastRow="0" w:firstColumn="1" w:lastColumn="0" w:noHBand="0" w:noVBand="1"/>
      </w:tblPr>
      <w:tblGrid>
        <w:gridCol w:w="9936"/>
      </w:tblGrid>
      <w:tr w:rsidR="007C092B" w:rsidTr="007C092B">
        <w:tc>
          <w:tcPr>
            <w:tcW w:w="9936" w:type="dxa"/>
          </w:tcPr>
          <w:p w:rsidR="007C092B" w:rsidRPr="007C092B" w:rsidRDefault="007C092B" w:rsidP="007C092B">
            <w:pPr>
              <w:spacing w:before="120" w:after="120" w:line="280" w:lineRule="exact"/>
              <w:rPr>
                <w:rFonts w:ascii="Arial" w:hAnsi="Arial" w:cs="Arial"/>
                <w:b/>
                <w:sz w:val="20"/>
                <w:szCs w:val="20"/>
              </w:rPr>
            </w:pPr>
            <w:r w:rsidRPr="007C092B">
              <w:rPr>
                <w:rFonts w:ascii="Arial" w:hAnsi="Arial" w:cs="Arial"/>
                <w:b/>
                <w:sz w:val="20"/>
                <w:szCs w:val="20"/>
              </w:rPr>
              <w:t>How the Project Serves the Public Interest</w:t>
            </w:r>
          </w:p>
          <w:p w:rsidR="007C092B" w:rsidRPr="007C092B" w:rsidRDefault="007C092B" w:rsidP="007C092B">
            <w:pPr>
              <w:spacing w:before="120" w:after="120" w:line="280" w:lineRule="exact"/>
              <w:jc w:val="both"/>
              <w:rPr>
                <w:rFonts w:ascii="Arial" w:hAnsi="Arial" w:cs="Arial"/>
                <w:sz w:val="20"/>
                <w:szCs w:val="20"/>
              </w:rPr>
            </w:pPr>
            <w:r w:rsidRPr="007C092B">
              <w:rPr>
                <w:rFonts w:ascii="Arial" w:hAnsi="Arial" w:cs="Arial"/>
                <w:sz w:val="20"/>
                <w:szCs w:val="20"/>
              </w:rPr>
              <w:t xml:space="preserve">The project serves the public interest as long association of personnel on an audit engagement with an audit client or audit team can impact objectivity and professional skepticism, which in turn are important contributors to audit quality. The independent auditor constitutes the principal external check on the integrity of financial statements. Hence, the length of the auditor’s relationship with the audit client becomes a very visible factor when evaluating the auditor’s independence of mind and in appearance. It is acknowledged that a perception issue exists with respect to the long association, particularly as the length of time an individual may serve an audit client in a KAP role may be 14 out of a total of 16 years. It is therefore important, and in the public interest, for the Board to consider whether the provisions remain appropriate for addressing the threats arising from long association. </w:t>
            </w:r>
          </w:p>
          <w:p w:rsidR="007C092B" w:rsidRPr="007C092B" w:rsidRDefault="007C092B" w:rsidP="007C092B">
            <w:pPr>
              <w:spacing w:before="120" w:after="120" w:line="280" w:lineRule="exact"/>
              <w:jc w:val="both"/>
              <w:rPr>
                <w:rFonts w:ascii="Arial" w:hAnsi="Arial" w:cs="Arial"/>
                <w:sz w:val="20"/>
                <w:szCs w:val="20"/>
              </w:rPr>
            </w:pPr>
            <w:r w:rsidRPr="007C092B">
              <w:rPr>
                <w:rFonts w:ascii="Arial" w:hAnsi="Arial" w:cs="Arial"/>
                <w:sz w:val="20"/>
                <w:szCs w:val="20"/>
              </w:rPr>
              <w:t xml:space="preserve">The issues involved are complex and interwoven. The factors that give rise to threats to independence may also be factors that contribute to audit quality. These could include knowledge of the audit client and knowledge of the audit client’s operations and continuity of personnel. In addition, while some stakeholders call for mandatory requirements to be strengthened, it is also recognized that arbitrary requirements can create unintended hardship on companies when rotations are forced to occur at times of change or transition.  </w:t>
            </w:r>
          </w:p>
        </w:tc>
      </w:tr>
    </w:tbl>
    <w:p w:rsidR="00D90A74" w:rsidRPr="00604CB6" w:rsidRDefault="00D90A74" w:rsidP="001E03C4">
      <w:pPr>
        <w:pStyle w:val="ListParagraph"/>
        <w:numPr>
          <w:ilvl w:val="0"/>
          <w:numId w:val="4"/>
        </w:numPr>
        <w:spacing w:before="240" w:after="120" w:line="280" w:lineRule="exact"/>
        <w:ind w:left="540" w:hanging="540"/>
        <w:contextualSpacing w:val="0"/>
        <w:jc w:val="both"/>
        <w:rPr>
          <w:rFonts w:ascii="Arial" w:hAnsi="Arial" w:cs="Arial"/>
          <w:b/>
          <w:sz w:val="20"/>
          <w:szCs w:val="20"/>
        </w:rPr>
      </w:pPr>
      <w:r w:rsidRPr="00604CB6">
        <w:rPr>
          <w:rFonts w:ascii="Arial" w:hAnsi="Arial" w:cs="Arial"/>
          <w:b/>
          <w:sz w:val="20"/>
          <w:szCs w:val="20"/>
        </w:rPr>
        <w:t>Background</w:t>
      </w:r>
    </w:p>
    <w:p w:rsidR="00CB7F42" w:rsidRPr="00CB7F42" w:rsidRDefault="00C65EC8" w:rsidP="00D46F63">
      <w:pPr>
        <w:pStyle w:val="StyleLeft585pt"/>
        <w:numPr>
          <w:ilvl w:val="0"/>
          <w:numId w:val="7"/>
        </w:numPr>
        <w:spacing w:before="120"/>
        <w:ind w:left="547" w:hanging="547"/>
        <w:jc w:val="both"/>
        <w:rPr>
          <w:rFonts w:ascii="Arial" w:hAnsi="Arial" w:cs="Arial"/>
          <w:sz w:val="20"/>
        </w:rPr>
      </w:pPr>
      <w:r>
        <w:rPr>
          <w:rFonts w:ascii="Arial" w:hAnsi="Arial" w:cs="Arial"/>
          <w:sz w:val="20"/>
        </w:rPr>
        <w:t>Since the initiation of the Long Association project</w:t>
      </w:r>
      <w:r w:rsidR="009A7B52">
        <w:rPr>
          <w:rFonts w:ascii="Arial" w:hAnsi="Arial" w:cs="Arial"/>
          <w:sz w:val="20"/>
        </w:rPr>
        <w:t>,</w:t>
      </w:r>
      <w:r>
        <w:rPr>
          <w:rFonts w:ascii="Arial" w:hAnsi="Arial" w:cs="Arial"/>
          <w:sz w:val="20"/>
        </w:rPr>
        <w:t xml:space="preserve"> the Task Force (TF) has presented proposals to the </w:t>
      </w:r>
      <w:r w:rsidR="002A581F">
        <w:rPr>
          <w:rFonts w:ascii="Arial" w:hAnsi="Arial" w:cs="Arial"/>
          <w:sz w:val="20"/>
        </w:rPr>
        <w:t>Board</w:t>
      </w:r>
      <w:r w:rsidR="00A23D64">
        <w:rPr>
          <w:rFonts w:ascii="Arial" w:hAnsi="Arial" w:cs="Arial"/>
          <w:sz w:val="20"/>
        </w:rPr>
        <w:t xml:space="preserve"> at its</w:t>
      </w:r>
      <w:r>
        <w:rPr>
          <w:rFonts w:ascii="Arial" w:hAnsi="Arial" w:cs="Arial"/>
          <w:sz w:val="20"/>
        </w:rPr>
        <w:t xml:space="preserve"> September and December </w:t>
      </w:r>
      <w:r w:rsidR="0073392C">
        <w:rPr>
          <w:rFonts w:ascii="Arial" w:hAnsi="Arial" w:cs="Arial"/>
          <w:sz w:val="20"/>
        </w:rPr>
        <w:t xml:space="preserve">2013 </w:t>
      </w:r>
      <w:r w:rsidR="00EF5C38">
        <w:rPr>
          <w:rFonts w:ascii="Arial" w:hAnsi="Arial" w:cs="Arial"/>
          <w:sz w:val="20"/>
        </w:rPr>
        <w:t>and April 2014 meeting</w:t>
      </w:r>
      <w:r w:rsidR="00A23D64">
        <w:rPr>
          <w:rFonts w:ascii="Arial" w:hAnsi="Arial" w:cs="Arial"/>
          <w:sz w:val="20"/>
        </w:rPr>
        <w:t>s</w:t>
      </w:r>
      <w:r>
        <w:rPr>
          <w:rFonts w:ascii="Arial" w:hAnsi="Arial" w:cs="Arial"/>
          <w:sz w:val="20"/>
        </w:rPr>
        <w:t>. As a result of these meetings</w:t>
      </w:r>
      <w:r w:rsidR="009A7B52">
        <w:rPr>
          <w:rFonts w:ascii="Arial" w:hAnsi="Arial" w:cs="Arial"/>
          <w:sz w:val="20"/>
        </w:rPr>
        <w:t>,</w:t>
      </w:r>
      <w:r>
        <w:rPr>
          <w:rFonts w:ascii="Arial" w:hAnsi="Arial" w:cs="Arial"/>
          <w:sz w:val="20"/>
        </w:rPr>
        <w:t xml:space="preserve"> the Board </w:t>
      </w:r>
      <w:r w:rsidR="00CB44F1">
        <w:rPr>
          <w:rFonts w:ascii="Arial" w:hAnsi="Arial" w:cs="Arial"/>
          <w:sz w:val="20"/>
        </w:rPr>
        <w:t>reached tentative agreement on</w:t>
      </w:r>
      <w:r w:rsidR="002A581F">
        <w:rPr>
          <w:rFonts w:ascii="Arial" w:hAnsi="Arial" w:cs="Arial"/>
          <w:sz w:val="20"/>
        </w:rPr>
        <w:t xml:space="preserve"> the following:</w:t>
      </w:r>
    </w:p>
    <w:p w:rsidR="0025672F" w:rsidRDefault="00C96FEC" w:rsidP="009337E8">
      <w:pPr>
        <w:pStyle w:val="Indent"/>
        <w:widowControl w:val="0"/>
        <w:numPr>
          <w:ilvl w:val="0"/>
          <w:numId w:val="8"/>
        </w:numPr>
        <w:tabs>
          <w:tab w:val="clear" w:pos="960"/>
        </w:tabs>
        <w:spacing w:before="120" w:after="120"/>
        <w:ind w:left="1094" w:hanging="547"/>
        <w:rPr>
          <w:rFonts w:ascii="Arial" w:hAnsi="Arial" w:cs="Arial"/>
          <w:sz w:val="20"/>
        </w:rPr>
      </w:pPr>
      <w:r>
        <w:rPr>
          <w:rFonts w:ascii="Arial" w:hAnsi="Arial" w:cs="Arial"/>
          <w:sz w:val="20"/>
        </w:rPr>
        <w:t>M</w:t>
      </w:r>
      <w:r w:rsidR="006B6054" w:rsidRPr="0025672F">
        <w:rPr>
          <w:rFonts w:ascii="Arial" w:hAnsi="Arial" w:cs="Arial"/>
          <w:sz w:val="20"/>
        </w:rPr>
        <w:t>andatory tendering and firm rotation</w:t>
      </w:r>
      <w:r w:rsidR="0087395B" w:rsidRPr="0025672F">
        <w:rPr>
          <w:rFonts w:ascii="Arial" w:hAnsi="Arial" w:cs="Arial"/>
          <w:sz w:val="20"/>
        </w:rPr>
        <w:t xml:space="preserve"> </w:t>
      </w:r>
      <w:r w:rsidR="00593F50" w:rsidRPr="0025672F">
        <w:rPr>
          <w:rFonts w:ascii="Arial" w:hAnsi="Arial" w:cs="Arial"/>
          <w:sz w:val="20"/>
        </w:rPr>
        <w:t xml:space="preserve">developments </w:t>
      </w:r>
      <w:r>
        <w:rPr>
          <w:rFonts w:ascii="Arial" w:hAnsi="Arial" w:cs="Arial"/>
          <w:sz w:val="20"/>
        </w:rPr>
        <w:t>s</w:t>
      </w:r>
      <w:r w:rsidR="004A1E23" w:rsidRPr="0025672F">
        <w:rPr>
          <w:rFonts w:ascii="Arial" w:hAnsi="Arial" w:cs="Arial"/>
          <w:sz w:val="20"/>
        </w:rPr>
        <w:t>hould</w:t>
      </w:r>
      <w:r w:rsidR="00593F50" w:rsidRPr="0025672F">
        <w:rPr>
          <w:rFonts w:ascii="Arial" w:hAnsi="Arial" w:cs="Arial"/>
          <w:sz w:val="20"/>
        </w:rPr>
        <w:t xml:space="preserve"> be</w:t>
      </w:r>
      <w:r w:rsidR="00941497" w:rsidRPr="0025672F">
        <w:rPr>
          <w:rFonts w:ascii="Arial" w:hAnsi="Arial" w:cs="Arial"/>
          <w:sz w:val="20"/>
        </w:rPr>
        <w:t xml:space="preserve"> closely</w:t>
      </w:r>
      <w:r w:rsidR="00593F50" w:rsidRPr="0025672F">
        <w:rPr>
          <w:rFonts w:ascii="Arial" w:hAnsi="Arial" w:cs="Arial"/>
          <w:sz w:val="20"/>
        </w:rPr>
        <w:t xml:space="preserve"> monitored </w:t>
      </w:r>
      <w:r w:rsidR="0025672F">
        <w:rPr>
          <w:rFonts w:ascii="Arial" w:hAnsi="Arial" w:cs="Arial"/>
          <w:sz w:val="20"/>
        </w:rPr>
        <w:t>as any</w:t>
      </w:r>
      <w:r w:rsidR="0025672F" w:rsidRPr="0025672F">
        <w:rPr>
          <w:rFonts w:ascii="Arial" w:hAnsi="Arial" w:cs="Arial"/>
          <w:sz w:val="20"/>
        </w:rPr>
        <w:t xml:space="preserve"> </w:t>
      </w:r>
      <w:r w:rsidR="0025672F">
        <w:rPr>
          <w:rFonts w:ascii="Arial" w:hAnsi="Arial" w:cs="Arial"/>
          <w:sz w:val="20"/>
        </w:rPr>
        <w:t xml:space="preserve">provisions developed by the </w:t>
      </w:r>
      <w:r w:rsidR="005B5A01">
        <w:rPr>
          <w:rFonts w:ascii="Arial" w:hAnsi="Arial" w:cs="Arial"/>
          <w:sz w:val="20"/>
        </w:rPr>
        <w:t>TF</w:t>
      </w:r>
      <w:r w:rsidR="0025672F">
        <w:rPr>
          <w:rFonts w:ascii="Arial" w:hAnsi="Arial" w:cs="Arial"/>
          <w:sz w:val="20"/>
        </w:rPr>
        <w:t xml:space="preserve"> </w:t>
      </w:r>
      <w:r w:rsidR="0025672F" w:rsidRPr="0025672F">
        <w:rPr>
          <w:rFonts w:ascii="Arial" w:hAnsi="Arial" w:cs="Arial"/>
          <w:sz w:val="20"/>
        </w:rPr>
        <w:t>should provide a reasonable and robust alternative to those proposals.</w:t>
      </w:r>
      <w:r w:rsidR="00EC7A93">
        <w:rPr>
          <w:rFonts w:ascii="Arial" w:hAnsi="Arial" w:cs="Arial"/>
          <w:sz w:val="20"/>
        </w:rPr>
        <w:t xml:space="preserve"> </w:t>
      </w:r>
    </w:p>
    <w:p w:rsidR="00083EED" w:rsidRPr="00EC7A93" w:rsidRDefault="00083EED" w:rsidP="009337E8">
      <w:pPr>
        <w:pStyle w:val="Indent"/>
        <w:widowControl w:val="0"/>
        <w:numPr>
          <w:ilvl w:val="0"/>
          <w:numId w:val="8"/>
        </w:numPr>
        <w:tabs>
          <w:tab w:val="clear" w:pos="960"/>
        </w:tabs>
        <w:spacing w:before="120" w:after="120"/>
        <w:ind w:left="1094" w:hanging="547"/>
        <w:rPr>
          <w:rFonts w:ascii="Arial" w:hAnsi="Arial" w:cs="Arial"/>
          <w:sz w:val="20"/>
        </w:rPr>
      </w:pPr>
      <w:r>
        <w:rPr>
          <w:rFonts w:ascii="Arial" w:hAnsi="Arial" w:cs="Arial"/>
          <w:sz w:val="20"/>
        </w:rPr>
        <w:t>The overall framework and general principles currently contained in paragraph 290.150</w:t>
      </w:r>
      <w:r w:rsidR="006D7DAA">
        <w:rPr>
          <w:rStyle w:val="FootnoteReference"/>
          <w:rFonts w:ascii="Arial" w:hAnsi="Arial" w:cs="Arial"/>
          <w:sz w:val="20"/>
        </w:rPr>
        <w:footnoteReference w:id="2"/>
      </w:r>
      <w:r>
        <w:rPr>
          <w:rFonts w:ascii="Arial" w:hAnsi="Arial" w:cs="Arial"/>
          <w:sz w:val="20"/>
        </w:rPr>
        <w:t xml:space="preserve"> that apply to all audit engagements should be strengthened. </w:t>
      </w:r>
    </w:p>
    <w:p w:rsidR="00857007" w:rsidRDefault="005B5A01" w:rsidP="009337E8">
      <w:pPr>
        <w:pStyle w:val="Indent"/>
        <w:widowControl w:val="0"/>
        <w:numPr>
          <w:ilvl w:val="0"/>
          <w:numId w:val="8"/>
        </w:numPr>
        <w:tabs>
          <w:tab w:val="clear" w:pos="960"/>
          <w:tab w:val="left" w:pos="1080"/>
        </w:tabs>
        <w:spacing w:before="120" w:after="120"/>
        <w:ind w:left="1094" w:hanging="547"/>
        <w:rPr>
          <w:rFonts w:ascii="Arial" w:hAnsi="Arial" w:cs="Arial"/>
          <w:sz w:val="20"/>
        </w:rPr>
      </w:pPr>
      <w:r>
        <w:rPr>
          <w:rFonts w:ascii="Arial" w:hAnsi="Arial" w:cs="Arial"/>
          <w:sz w:val="20"/>
        </w:rPr>
        <w:t>T</w:t>
      </w:r>
      <w:r w:rsidR="00083EED">
        <w:rPr>
          <w:rFonts w:ascii="Arial" w:hAnsi="Arial" w:cs="Arial"/>
          <w:sz w:val="20"/>
        </w:rPr>
        <w:t xml:space="preserve">he time-on </w:t>
      </w:r>
      <w:r w:rsidR="009A7B52">
        <w:rPr>
          <w:rFonts w:ascii="Arial" w:hAnsi="Arial" w:cs="Arial"/>
          <w:sz w:val="20"/>
        </w:rPr>
        <w:t>period of seven years remains</w:t>
      </w:r>
      <w:r w:rsidR="00083EED">
        <w:rPr>
          <w:rFonts w:ascii="Arial" w:hAnsi="Arial" w:cs="Arial"/>
          <w:sz w:val="20"/>
        </w:rPr>
        <w:t xml:space="preserve"> appropriate</w:t>
      </w:r>
      <w:r w:rsidR="00290B3F">
        <w:rPr>
          <w:rFonts w:ascii="Arial" w:hAnsi="Arial" w:cs="Arial"/>
          <w:sz w:val="20"/>
        </w:rPr>
        <w:t xml:space="preserve"> for all KAPs.</w:t>
      </w:r>
      <w:r w:rsidR="00857007">
        <w:rPr>
          <w:rFonts w:ascii="Arial" w:hAnsi="Arial" w:cs="Arial"/>
          <w:sz w:val="20"/>
        </w:rPr>
        <w:t xml:space="preserve"> </w:t>
      </w:r>
    </w:p>
    <w:p w:rsidR="005B5A01" w:rsidRDefault="00857007" w:rsidP="009337E8">
      <w:pPr>
        <w:pStyle w:val="Indent"/>
        <w:widowControl w:val="0"/>
        <w:numPr>
          <w:ilvl w:val="0"/>
          <w:numId w:val="8"/>
        </w:numPr>
        <w:tabs>
          <w:tab w:val="clear" w:pos="960"/>
          <w:tab w:val="left" w:pos="1080"/>
        </w:tabs>
        <w:spacing w:before="120" w:after="120"/>
        <w:ind w:left="1094" w:hanging="547"/>
        <w:rPr>
          <w:rFonts w:ascii="Arial" w:hAnsi="Arial" w:cs="Arial"/>
          <w:sz w:val="20"/>
        </w:rPr>
      </w:pPr>
      <w:r>
        <w:rPr>
          <w:rFonts w:ascii="Arial" w:hAnsi="Arial" w:cs="Arial"/>
          <w:sz w:val="20"/>
        </w:rPr>
        <w:t>The cooling</w:t>
      </w:r>
      <w:r w:rsidR="008C1DE6">
        <w:rPr>
          <w:rFonts w:ascii="Arial" w:hAnsi="Arial" w:cs="Arial"/>
          <w:sz w:val="20"/>
        </w:rPr>
        <w:t>-</w:t>
      </w:r>
      <w:r>
        <w:rPr>
          <w:rFonts w:ascii="Arial" w:hAnsi="Arial" w:cs="Arial"/>
          <w:sz w:val="20"/>
        </w:rPr>
        <w:t xml:space="preserve">off period should be extended </w:t>
      </w:r>
      <w:r w:rsidR="00FC342E">
        <w:rPr>
          <w:rFonts w:ascii="Arial" w:hAnsi="Arial" w:cs="Arial"/>
          <w:sz w:val="20"/>
        </w:rPr>
        <w:t xml:space="preserve">to </w:t>
      </w:r>
      <w:r w:rsidR="006D7DAA">
        <w:rPr>
          <w:rFonts w:ascii="Arial" w:hAnsi="Arial" w:cs="Arial"/>
          <w:sz w:val="20"/>
        </w:rPr>
        <w:t>five</w:t>
      </w:r>
      <w:r w:rsidR="00FC342E">
        <w:rPr>
          <w:rFonts w:ascii="Arial" w:hAnsi="Arial" w:cs="Arial"/>
          <w:sz w:val="20"/>
        </w:rPr>
        <w:t xml:space="preserve"> years</w:t>
      </w:r>
      <w:r>
        <w:rPr>
          <w:rFonts w:ascii="Arial" w:hAnsi="Arial" w:cs="Arial"/>
          <w:sz w:val="20"/>
        </w:rPr>
        <w:t xml:space="preserve"> </w:t>
      </w:r>
      <w:r w:rsidR="00FC342E">
        <w:rPr>
          <w:rFonts w:ascii="Arial" w:hAnsi="Arial" w:cs="Arial"/>
          <w:sz w:val="20"/>
        </w:rPr>
        <w:t xml:space="preserve">for </w:t>
      </w:r>
      <w:r w:rsidR="008C1DE6">
        <w:rPr>
          <w:rFonts w:ascii="Arial" w:hAnsi="Arial" w:cs="Arial"/>
          <w:sz w:val="20"/>
        </w:rPr>
        <w:t>e</w:t>
      </w:r>
      <w:r w:rsidR="007C7D56">
        <w:rPr>
          <w:rFonts w:ascii="Arial" w:hAnsi="Arial" w:cs="Arial"/>
          <w:sz w:val="20"/>
        </w:rPr>
        <w:t xml:space="preserve">ngagement </w:t>
      </w:r>
      <w:r w:rsidR="008C1DE6">
        <w:rPr>
          <w:rFonts w:ascii="Arial" w:hAnsi="Arial" w:cs="Arial"/>
          <w:sz w:val="20"/>
        </w:rPr>
        <w:t>p</w:t>
      </w:r>
      <w:r w:rsidR="007C7D56">
        <w:rPr>
          <w:rFonts w:ascii="Arial" w:hAnsi="Arial" w:cs="Arial"/>
          <w:sz w:val="20"/>
        </w:rPr>
        <w:t>artners (</w:t>
      </w:r>
      <w:r w:rsidR="005416D2">
        <w:rPr>
          <w:rFonts w:ascii="Arial" w:hAnsi="Arial" w:cs="Arial"/>
          <w:sz w:val="20"/>
        </w:rPr>
        <w:t>LAEPs</w:t>
      </w:r>
      <w:r w:rsidR="007C7D56">
        <w:rPr>
          <w:rFonts w:ascii="Arial" w:hAnsi="Arial" w:cs="Arial"/>
          <w:sz w:val="20"/>
        </w:rPr>
        <w:t>)</w:t>
      </w:r>
      <w:r w:rsidR="0072452B">
        <w:rPr>
          <w:rFonts w:ascii="Arial" w:hAnsi="Arial" w:cs="Arial"/>
          <w:sz w:val="20"/>
        </w:rPr>
        <w:t xml:space="preserve"> on </w:t>
      </w:r>
      <w:r w:rsidR="00E66EE5">
        <w:rPr>
          <w:rFonts w:ascii="Arial" w:hAnsi="Arial" w:cs="Arial"/>
          <w:sz w:val="20"/>
        </w:rPr>
        <w:t xml:space="preserve">audits of </w:t>
      </w:r>
      <w:r w:rsidR="007C7D56">
        <w:rPr>
          <w:rFonts w:ascii="Arial" w:hAnsi="Arial" w:cs="Arial"/>
          <w:sz w:val="20"/>
        </w:rPr>
        <w:t>public interest entities (</w:t>
      </w:r>
      <w:r w:rsidR="0072452B">
        <w:rPr>
          <w:rFonts w:ascii="Arial" w:hAnsi="Arial" w:cs="Arial"/>
          <w:sz w:val="20"/>
        </w:rPr>
        <w:t>PIEs</w:t>
      </w:r>
      <w:r w:rsidR="007C7D56">
        <w:rPr>
          <w:rFonts w:ascii="Arial" w:hAnsi="Arial" w:cs="Arial"/>
          <w:sz w:val="20"/>
        </w:rPr>
        <w:t>)</w:t>
      </w:r>
      <w:r w:rsidR="00EF5C38">
        <w:rPr>
          <w:rFonts w:ascii="Arial" w:hAnsi="Arial" w:cs="Arial"/>
          <w:sz w:val="20"/>
        </w:rPr>
        <w:t xml:space="preserve"> after any time served as LAEP</w:t>
      </w:r>
      <w:r w:rsidR="00E66EE5">
        <w:rPr>
          <w:rFonts w:ascii="Arial" w:hAnsi="Arial" w:cs="Arial"/>
          <w:sz w:val="20"/>
        </w:rPr>
        <w:t>,</w:t>
      </w:r>
      <w:r w:rsidR="00FF193F">
        <w:rPr>
          <w:rFonts w:ascii="Arial" w:hAnsi="Arial" w:cs="Arial"/>
          <w:sz w:val="20"/>
        </w:rPr>
        <w:t xml:space="preserve"> </w:t>
      </w:r>
      <w:r w:rsidR="00E66EE5">
        <w:rPr>
          <w:rFonts w:ascii="Arial" w:hAnsi="Arial" w:cs="Arial"/>
          <w:sz w:val="20"/>
        </w:rPr>
        <w:t>with a two-</w:t>
      </w:r>
      <w:r w:rsidR="0072452B">
        <w:rPr>
          <w:rFonts w:ascii="Arial" w:hAnsi="Arial" w:cs="Arial"/>
          <w:sz w:val="20"/>
        </w:rPr>
        <w:t xml:space="preserve">year cooling-off period for </w:t>
      </w:r>
      <w:r w:rsidR="007C7D56">
        <w:rPr>
          <w:rFonts w:ascii="Arial" w:hAnsi="Arial" w:cs="Arial"/>
          <w:sz w:val="20"/>
        </w:rPr>
        <w:t>other key audit partners (</w:t>
      </w:r>
      <w:r w:rsidR="0072452B">
        <w:rPr>
          <w:rFonts w:ascii="Arial" w:hAnsi="Arial" w:cs="Arial"/>
          <w:sz w:val="20"/>
        </w:rPr>
        <w:t>KAPs</w:t>
      </w:r>
      <w:r w:rsidR="007C7D56">
        <w:rPr>
          <w:rFonts w:ascii="Arial" w:hAnsi="Arial" w:cs="Arial"/>
          <w:sz w:val="20"/>
        </w:rPr>
        <w:t>)</w:t>
      </w:r>
      <w:r w:rsidR="000B4913">
        <w:rPr>
          <w:rFonts w:ascii="Arial" w:hAnsi="Arial" w:cs="Arial"/>
          <w:sz w:val="20"/>
        </w:rPr>
        <w:t>.</w:t>
      </w:r>
    </w:p>
    <w:p w:rsidR="00C52C55" w:rsidRPr="008600EA" w:rsidRDefault="005B5A01" w:rsidP="009337E8">
      <w:pPr>
        <w:keepNext/>
        <w:numPr>
          <w:ilvl w:val="0"/>
          <w:numId w:val="8"/>
        </w:numPr>
        <w:spacing w:before="120" w:after="120" w:line="280" w:lineRule="exact"/>
        <w:ind w:left="1094" w:hanging="547"/>
        <w:jc w:val="both"/>
        <w:rPr>
          <w:rFonts w:ascii="Arial" w:eastAsia="Calibri" w:hAnsi="Arial" w:cs="Arial"/>
          <w:smallCaps/>
          <w:sz w:val="20"/>
          <w:szCs w:val="20"/>
        </w:rPr>
      </w:pPr>
      <w:r>
        <w:rPr>
          <w:rFonts w:ascii="Arial" w:hAnsi="Arial" w:cs="Arial"/>
          <w:sz w:val="20"/>
        </w:rPr>
        <w:t>M</w:t>
      </w:r>
      <w:r w:rsidR="00C52C55">
        <w:rPr>
          <w:rFonts w:ascii="Arial" w:hAnsi="Arial" w:cs="Arial"/>
          <w:sz w:val="20"/>
        </w:rPr>
        <w:t xml:space="preserve">andatory rotation </w:t>
      </w:r>
      <w:r w:rsidR="00E66EE5">
        <w:rPr>
          <w:rFonts w:ascii="Arial" w:hAnsi="Arial" w:cs="Arial"/>
          <w:sz w:val="20"/>
        </w:rPr>
        <w:t>under</w:t>
      </w:r>
      <w:r w:rsidR="00C52C55">
        <w:rPr>
          <w:rFonts w:ascii="Arial" w:hAnsi="Arial" w:cs="Arial"/>
          <w:sz w:val="20"/>
        </w:rPr>
        <w:t xml:space="preserve"> the Code should not be extended to audits of </w:t>
      </w:r>
      <w:r w:rsidR="000C612E">
        <w:rPr>
          <w:rFonts w:ascii="Arial" w:hAnsi="Arial" w:cs="Arial"/>
          <w:sz w:val="20"/>
        </w:rPr>
        <w:t>entities that are not</w:t>
      </w:r>
      <w:r w:rsidR="00E66EE5">
        <w:rPr>
          <w:rFonts w:ascii="Arial" w:hAnsi="Arial" w:cs="Arial"/>
          <w:sz w:val="20"/>
        </w:rPr>
        <w:t xml:space="preserve"> PIEs</w:t>
      </w:r>
      <w:r w:rsidR="00C52C55">
        <w:rPr>
          <w:rFonts w:ascii="Arial" w:hAnsi="Arial" w:cs="Arial"/>
          <w:sz w:val="20"/>
        </w:rPr>
        <w:t>.</w:t>
      </w:r>
    </w:p>
    <w:p w:rsidR="001B513C" w:rsidRPr="00F4170F" w:rsidRDefault="00857007" w:rsidP="009337E8">
      <w:pPr>
        <w:keepNext/>
        <w:numPr>
          <w:ilvl w:val="0"/>
          <w:numId w:val="8"/>
        </w:numPr>
        <w:spacing w:before="120" w:after="120" w:line="280" w:lineRule="exact"/>
        <w:ind w:left="1094" w:hanging="547"/>
        <w:jc w:val="both"/>
        <w:rPr>
          <w:rFonts w:ascii="Arial" w:hAnsi="Arial" w:cs="Arial"/>
          <w:sz w:val="20"/>
        </w:rPr>
      </w:pPr>
      <w:r>
        <w:rPr>
          <w:rFonts w:ascii="Arial" w:hAnsi="Arial" w:cs="Arial"/>
          <w:sz w:val="20"/>
        </w:rPr>
        <w:t xml:space="preserve">Concurrence should be sought from </w:t>
      </w:r>
      <w:r w:rsidR="001B513C" w:rsidRPr="00F4170F">
        <w:rPr>
          <w:rFonts w:ascii="Arial" w:hAnsi="Arial" w:cs="Arial"/>
          <w:sz w:val="20"/>
        </w:rPr>
        <w:t xml:space="preserve">those charged with governance (TCWG) </w:t>
      </w:r>
      <w:r>
        <w:rPr>
          <w:rFonts w:ascii="Arial" w:hAnsi="Arial" w:cs="Arial"/>
          <w:sz w:val="20"/>
        </w:rPr>
        <w:t>with respect to the application of certain provisions</w:t>
      </w:r>
      <w:r w:rsidR="000B4913">
        <w:rPr>
          <w:rFonts w:ascii="Arial" w:hAnsi="Arial" w:cs="Arial"/>
          <w:sz w:val="20"/>
        </w:rPr>
        <w:t>.</w:t>
      </w:r>
    </w:p>
    <w:p w:rsidR="008E6147" w:rsidRDefault="00857007" w:rsidP="009337E8">
      <w:pPr>
        <w:pStyle w:val="Indent"/>
        <w:widowControl w:val="0"/>
        <w:numPr>
          <w:ilvl w:val="0"/>
          <w:numId w:val="8"/>
        </w:numPr>
        <w:tabs>
          <w:tab w:val="clear" w:pos="960"/>
        </w:tabs>
        <w:spacing w:before="120" w:after="120"/>
        <w:ind w:left="1094" w:hanging="547"/>
        <w:rPr>
          <w:rFonts w:ascii="Arial" w:hAnsi="Arial" w:cs="Arial"/>
          <w:sz w:val="20"/>
        </w:rPr>
      </w:pPr>
      <w:r>
        <w:rPr>
          <w:rFonts w:ascii="Arial" w:hAnsi="Arial" w:cs="Arial"/>
          <w:sz w:val="20"/>
        </w:rPr>
        <w:t>C</w:t>
      </w:r>
      <w:r w:rsidR="00886B21">
        <w:rPr>
          <w:rFonts w:ascii="Arial" w:hAnsi="Arial" w:cs="Arial"/>
          <w:sz w:val="20"/>
        </w:rPr>
        <w:t xml:space="preserve">ertain activities </w:t>
      </w:r>
      <w:r>
        <w:rPr>
          <w:rFonts w:ascii="Arial" w:hAnsi="Arial" w:cs="Arial"/>
          <w:sz w:val="20"/>
        </w:rPr>
        <w:t xml:space="preserve">should </w:t>
      </w:r>
      <w:r w:rsidR="00886B21">
        <w:rPr>
          <w:rFonts w:ascii="Arial" w:hAnsi="Arial" w:cs="Arial"/>
          <w:sz w:val="20"/>
        </w:rPr>
        <w:t>be prohibited during the cooling-off period</w:t>
      </w:r>
      <w:r w:rsidR="003D17AE">
        <w:rPr>
          <w:rFonts w:ascii="Arial" w:hAnsi="Arial" w:cs="Arial"/>
          <w:sz w:val="20"/>
        </w:rPr>
        <w:t>.</w:t>
      </w:r>
      <w:r w:rsidR="00886B21">
        <w:rPr>
          <w:rFonts w:ascii="Arial" w:hAnsi="Arial" w:cs="Arial"/>
          <w:sz w:val="20"/>
        </w:rPr>
        <w:t xml:space="preserve"> </w:t>
      </w:r>
      <w:r w:rsidR="003D17AE">
        <w:rPr>
          <w:rFonts w:ascii="Arial" w:hAnsi="Arial" w:cs="Arial"/>
          <w:sz w:val="20"/>
        </w:rPr>
        <w:t>H</w:t>
      </w:r>
      <w:r w:rsidR="00886B21">
        <w:rPr>
          <w:rFonts w:ascii="Arial" w:hAnsi="Arial" w:cs="Arial"/>
          <w:sz w:val="20"/>
        </w:rPr>
        <w:t>owever</w:t>
      </w:r>
      <w:r w:rsidR="00F245E7">
        <w:rPr>
          <w:rFonts w:ascii="Arial" w:hAnsi="Arial" w:cs="Arial"/>
          <w:sz w:val="20"/>
        </w:rPr>
        <w:t>,</w:t>
      </w:r>
      <w:r w:rsidR="00886B21">
        <w:rPr>
          <w:rFonts w:ascii="Arial" w:hAnsi="Arial" w:cs="Arial"/>
          <w:sz w:val="20"/>
        </w:rPr>
        <w:t xml:space="preserve"> </w:t>
      </w:r>
      <w:r w:rsidR="008E6147">
        <w:rPr>
          <w:rFonts w:ascii="Arial" w:hAnsi="Arial" w:cs="Arial"/>
          <w:sz w:val="20"/>
        </w:rPr>
        <w:t xml:space="preserve">a </w:t>
      </w:r>
      <w:r w:rsidR="00026C48">
        <w:rPr>
          <w:rFonts w:ascii="Arial" w:hAnsi="Arial" w:cs="Arial"/>
          <w:sz w:val="20"/>
        </w:rPr>
        <w:t>L</w:t>
      </w:r>
      <w:r w:rsidR="008E6147" w:rsidRPr="00FC0FFA">
        <w:rPr>
          <w:rFonts w:ascii="Arial" w:hAnsi="Arial" w:cs="Arial"/>
          <w:sz w:val="20"/>
        </w:rPr>
        <w:t xml:space="preserve">AEP who </w:t>
      </w:r>
      <w:r w:rsidR="003D17AE">
        <w:rPr>
          <w:rFonts w:ascii="Arial" w:hAnsi="Arial" w:cs="Arial"/>
          <w:sz w:val="20"/>
        </w:rPr>
        <w:t>is cooling</w:t>
      </w:r>
      <w:r w:rsidR="008C1DE6">
        <w:rPr>
          <w:rFonts w:ascii="Arial" w:hAnsi="Arial" w:cs="Arial"/>
          <w:sz w:val="20"/>
        </w:rPr>
        <w:t>-</w:t>
      </w:r>
      <w:r w:rsidR="008E6147" w:rsidRPr="00FC0FFA">
        <w:rPr>
          <w:rFonts w:ascii="Arial" w:hAnsi="Arial" w:cs="Arial"/>
          <w:sz w:val="20"/>
        </w:rPr>
        <w:t>off for</w:t>
      </w:r>
      <w:r w:rsidR="003D17AE">
        <w:rPr>
          <w:rFonts w:ascii="Arial" w:hAnsi="Arial" w:cs="Arial"/>
          <w:sz w:val="20"/>
        </w:rPr>
        <w:t xml:space="preserve"> a</w:t>
      </w:r>
      <w:r w:rsidR="008E6147" w:rsidRPr="00FC0FFA">
        <w:rPr>
          <w:rFonts w:ascii="Arial" w:hAnsi="Arial" w:cs="Arial"/>
          <w:sz w:val="20"/>
        </w:rPr>
        <w:t xml:space="preserve"> five</w:t>
      </w:r>
      <w:r w:rsidR="008C1DE6">
        <w:rPr>
          <w:rFonts w:ascii="Arial" w:hAnsi="Arial" w:cs="Arial"/>
          <w:sz w:val="20"/>
        </w:rPr>
        <w:t>-</w:t>
      </w:r>
      <w:r w:rsidR="008E6147" w:rsidRPr="00FC0FFA">
        <w:rPr>
          <w:rFonts w:ascii="Arial" w:hAnsi="Arial" w:cs="Arial"/>
          <w:sz w:val="20"/>
        </w:rPr>
        <w:t>year</w:t>
      </w:r>
      <w:r w:rsidR="003D17AE">
        <w:rPr>
          <w:rFonts w:ascii="Arial" w:hAnsi="Arial" w:cs="Arial"/>
          <w:sz w:val="20"/>
        </w:rPr>
        <w:t xml:space="preserve"> period</w:t>
      </w:r>
      <w:r w:rsidR="008E6147" w:rsidRPr="00FC0FFA">
        <w:rPr>
          <w:rFonts w:ascii="Arial" w:hAnsi="Arial" w:cs="Arial"/>
          <w:sz w:val="20"/>
        </w:rPr>
        <w:t xml:space="preserve"> could</w:t>
      </w:r>
      <w:r w:rsidR="00580C64">
        <w:rPr>
          <w:rFonts w:ascii="Arial" w:hAnsi="Arial" w:cs="Arial"/>
          <w:sz w:val="20"/>
        </w:rPr>
        <w:t>, after two of those five years have been completed,</w:t>
      </w:r>
      <w:r w:rsidR="008E6147" w:rsidRPr="00FC0FFA">
        <w:rPr>
          <w:rFonts w:ascii="Arial" w:hAnsi="Arial" w:cs="Arial"/>
          <w:sz w:val="20"/>
        </w:rPr>
        <w:t xml:space="preserve"> be consulted on issues, transactions or events</w:t>
      </w:r>
      <w:r w:rsidR="008E6147" w:rsidRPr="00FC0FFA">
        <w:rPr>
          <w:rFonts w:ascii="Arial" w:hAnsi="Arial" w:cs="Arial"/>
          <w:spacing w:val="-4"/>
          <w:sz w:val="20"/>
          <w:lang w:val="en-GB"/>
        </w:rPr>
        <w:t xml:space="preserve"> that were not previously considered by that individual in the course of acting as engagement partner</w:t>
      </w:r>
      <w:r w:rsidR="00580C64">
        <w:rPr>
          <w:rFonts w:ascii="Arial" w:hAnsi="Arial" w:cs="Arial"/>
          <w:sz w:val="20"/>
        </w:rPr>
        <w:t>.</w:t>
      </w:r>
    </w:p>
    <w:p w:rsidR="008E6147" w:rsidRDefault="00857007" w:rsidP="00604CB6">
      <w:pPr>
        <w:pStyle w:val="StyleLeft585pt"/>
        <w:numPr>
          <w:ilvl w:val="0"/>
          <w:numId w:val="7"/>
        </w:numPr>
        <w:spacing w:before="120"/>
        <w:ind w:left="547" w:hanging="547"/>
        <w:jc w:val="both"/>
        <w:rPr>
          <w:rFonts w:ascii="Arial" w:hAnsi="Arial" w:cs="Arial"/>
          <w:sz w:val="20"/>
        </w:rPr>
      </w:pPr>
      <w:r>
        <w:rPr>
          <w:rFonts w:ascii="Arial" w:hAnsi="Arial" w:cs="Arial"/>
          <w:sz w:val="20"/>
        </w:rPr>
        <w:t>At the April 2014 meeting, t</w:t>
      </w:r>
      <w:r w:rsidR="00310C06" w:rsidRPr="00F325F4">
        <w:rPr>
          <w:rFonts w:ascii="Arial" w:hAnsi="Arial" w:cs="Arial"/>
          <w:sz w:val="20"/>
        </w:rPr>
        <w:t>he Board</w:t>
      </w:r>
      <w:r w:rsidR="00301401" w:rsidRPr="00F325F4">
        <w:rPr>
          <w:rFonts w:ascii="Arial" w:hAnsi="Arial" w:cs="Arial"/>
          <w:sz w:val="20"/>
        </w:rPr>
        <w:t xml:space="preserve"> </w:t>
      </w:r>
      <w:r w:rsidR="00F325F4" w:rsidRPr="00F325F4">
        <w:rPr>
          <w:rFonts w:ascii="Arial" w:hAnsi="Arial" w:cs="Arial"/>
          <w:sz w:val="20"/>
        </w:rPr>
        <w:t>asked the TF</w:t>
      </w:r>
      <w:r w:rsidR="005728D3">
        <w:rPr>
          <w:rFonts w:ascii="Arial" w:hAnsi="Arial" w:cs="Arial"/>
          <w:sz w:val="20"/>
        </w:rPr>
        <w:t xml:space="preserve"> </w:t>
      </w:r>
      <w:r w:rsidR="00F325F4" w:rsidRPr="00F325F4">
        <w:rPr>
          <w:rFonts w:ascii="Arial" w:hAnsi="Arial" w:cs="Arial"/>
          <w:sz w:val="20"/>
        </w:rPr>
        <w:t>to</w:t>
      </w:r>
      <w:r w:rsidR="001A5D22" w:rsidRPr="00F325F4">
        <w:rPr>
          <w:rFonts w:ascii="Arial" w:hAnsi="Arial" w:cs="Arial"/>
          <w:sz w:val="20"/>
        </w:rPr>
        <w:t xml:space="preserve"> further reflect on</w:t>
      </w:r>
      <w:r w:rsidR="005728D3">
        <w:rPr>
          <w:rFonts w:ascii="Arial" w:hAnsi="Arial" w:cs="Arial"/>
          <w:sz w:val="20"/>
        </w:rPr>
        <w:t xml:space="preserve"> </w:t>
      </w:r>
      <w:r w:rsidR="00F325F4">
        <w:rPr>
          <w:rFonts w:ascii="Arial" w:hAnsi="Arial" w:cs="Arial"/>
          <w:sz w:val="20"/>
        </w:rPr>
        <w:t xml:space="preserve">whether </w:t>
      </w:r>
      <w:r w:rsidR="00F325F4" w:rsidRPr="00F325F4">
        <w:rPr>
          <w:rFonts w:ascii="Arial" w:hAnsi="Arial" w:cs="Arial"/>
          <w:sz w:val="20"/>
        </w:rPr>
        <w:t>a KAP may participate in the provision of other services to the audit client during cooling-off</w:t>
      </w:r>
      <w:r w:rsidR="00310C06" w:rsidRPr="00F325F4">
        <w:rPr>
          <w:rFonts w:ascii="Arial" w:hAnsi="Arial" w:cs="Arial"/>
          <w:sz w:val="20"/>
        </w:rPr>
        <w:t xml:space="preserve">. </w:t>
      </w:r>
    </w:p>
    <w:p w:rsidR="00790E2C" w:rsidRPr="00F325F4" w:rsidRDefault="007961C7" w:rsidP="00604CB6">
      <w:pPr>
        <w:pStyle w:val="StyleLeft585pt"/>
        <w:numPr>
          <w:ilvl w:val="0"/>
          <w:numId w:val="7"/>
        </w:numPr>
        <w:spacing w:before="120"/>
        <w:ind w:left="547" w:hanging="547"/>
        <w:jc w:val="both"/>
        <w:rPr>
          <w:rFonts w:ascii="Arial" w:hAnsi="Arial" w:cs="Arial"/>
          <w:sz w:val="20"/>
        </w:rPr>
      </w:pPr>
      <w:r>
        <w:rPr>
          <w:rFonts w:ascii="Arial" w:hAnsi="Arial" w:cs="Arial"/>
          <w:sz w:val="20"/>
        </w:rPr>
        <w:t>The TF has proposed corresponding</w:t>
      </w:r>
      <w:r w:rsidR="00790E2C">
        <w:rPr>
          <w:rFonts w:ascii="Arial" w:hAnsi="Arial" w:cs="Arial"/>
          <w:sz w:val="20"/>
        </w:rPr>
        <w:t xml:space="preserve"> changes to Section 291</w:t>
      </w:r>
      <w:r w:rsidR="00405CF0">
        <w:rPr>
          <w:rStyle w:val="FootnoteReference"/>
          <w:rFonts w:ascii="Arial" w:hAnsi="Arial" w:cs="Arial"/>
          <w:sz w:val="20"/>
        </w:rPr>
        <w:footnoteReference w:id="3"/>
      </w:r>
      <w:r w:rsidR="00790E2C">
        <w:rPr>
          <w:rFonts w:ascii="Arial" w:hAnsi="Arial" w:cs="Arial"/>
          <w:sz w:val="20"/>
        </w:rPr>
        <w:t xml:space="preserve"> of the Code</w:t>
      </w:r>
      <w:r w:rsidR="00B45979">
        <w:rPr>
          <w:rFonts w:ascii="Arial" w:hAnsi="Arial" w:cs="Arial"/>
          <w:sz w:val="20"/>
        </w:rPr>
        <w:t xml:space="preserve"> which concer</w:t>
      </w:r>
      <w:r>
        <w:rPr>
          <w:rFonts w:ascii="Arial" w:hAnsi="Arial" w:cs="Arial"/>
          <w:sz w:val="20"/>
        </w:rPr>
        <w:t>ns independence for other assurance engagements.</w:t>
      </w:r>
    </w:p>
    <w:p w:rsidR="00FF193F" w:rsidRPr="00604CB6" w:rsidRDefault="00FF193F" w:rsidP="00FF193F">
      <w:pPr>
        <w:pStyle w:val="ListParagraph"/>
        <w:numPr>
          <w:ilvl w:val="0"/>
          <w:numId w:val="4"/>
        </w:numPr>
        <w:spacing w:before="240" w:after="120" w:line="280" w:lineRule="exact"/>
        <w:ind w:left="540" w:hanging="540"/>
        <w:contextualSpacing w:val="0"/>
        <w:jc w:val="both"/>
        <w:rPr>
          <w:rFonts w:ascii="Arial" w:hAnsi="Arial" w:cs="Arial"/>
          <w:b/>
          <w:sz w:val="20"/>
          <w:szCs w:val="20"/>
        </w:rPr>
      </w:pPr>
      <w:r w:rsidRPr="00604CB6">
        <w:rPr>
          <w:rFonts w:ascii="Arial" w:hAnsi="Arial" w:cs="Arial"/>
          <w:b/>
          <w:sz w:val="20"/>
          <w:szCs w:val="20"/>
        </w:rPr>
        <w:t>Significant Issues</w:t>
      </w:r>
    </w:p>
    <w:p w:rsidR="00FF193F" w:rsidRPr="00F30EB5" w:rsidRDefault="00FF193F" w:rsidP="00855DDD">
      <w:pPr>
        <w:keepNext/>
        <w:numPr>
          <w:ilvl w:val="0"/>
          <w:numId w:val="30"/>
        </w:numPr>
        <w:spacing w:before="120" w:line="280" w:lineRule="exact"/>
        <w:ind w:left="547" w:hanging="547"/>
        <w:rPr>
          <w:rFonts w:ascii="Arial" w:eastAsia="Calibri" w:hAnsi="Arial" w:cs="Arial"/>
          <w:smallCaps/>
          <w:sz w:val="20"/>
          <w:szCs w:val="20"/>
        </w:rPr>
      </w:pPr>
      <w:r w:rsidRPr="00F30EB5">
        <w:rPr>
          <w:rFonts w:ascii="Arial" w:eastAsia="Calibri" w:hAnsi="Arial" w:cs="Arial"/>
          <w:smallCaps/>
          <w:sz w:val="20"/>
          <w:szCs w:val="20"/>
        </w:rPr>
        <w:t>Cooling-Off Period</w:t>
      </w:r>
      <w:r w:rsidR="00855DDD" w:rsidRPr="00F30EB5">
        <w:rPr>
          <w:rFonts w:ascii="Arial" w:eastAsia="Calibri" w:hAnsi="Arial" w:cs="Arial"/>
          <w:smallCaps/>
          <w:sz w:val="20"/>
          <w:szCs w:val="20"/>
        </w:rPr>
        <w:t xml:space="preserve"> </w:t>
      </w:r>
      <w:r w:rsidR="00121EE0">
        <w:rPr>
          <w:rFonts w:ascii="Arial" w:eastAsia="Calibri" w:hAnsi="Arial" w:cs="Arial"/>
          <w:smallCaps/>
          <w:sz w:val="20"/>
          <w:szCs w:val="20"/>
        </w:rPr>
        <w:t xml:space="preserve">for </w:t>
      </w:r>
      <w:r w:rsidR="003B2F6E">
        <w:rPr>
          <w:rFonts w:ascii="Arial" w:eastAsia="Calibri" w:hAnsi="Arial" w:cs="Arial"/>
          <w:smallCaps/>
          <w:sz w:val="20"/>
          <w:szCs w:val="20"/>
        </w:rPr>
        <w:t>Kaps</w:t>
      </w:r>
      <w:r w:rsidRPr="00F30EB5">
        <w:rPr>
          <w:rFonts w:ascii="Arial" w:eastAsia="Calibri" w:hAnsi="Arial" w:cs="Arial"/>
          <w:smallCaps/>
          <w:sz w:val="20"/>
          <w:szCs w:val="20"/>
        </w:rPr>
        <w:t xml:space="preserve"> on </w:t>
      </w:r>
      <w:r w:rsidR="00121EE0">
        <w:rPr>
          <w:rFonts w:ascii="Arial" w:eastAsia="Calibri" w:hAnsi="Arial" w:cs="Arial"/>
          <w:smallCaps/>
          <w:sz w:val="20"/>
          <w:szCs w:val="20"/>
        </w:rPr>
        <w:t xml:space="preserve">Audits of </w:t>
      </w:r>
      <w:r w:rsidRPr="00F30EB5">
        <w:rPr>
          <w:rFonts w:ascii="Arial" w:eastAsia="Calibri" w:hAnsi="Arial" w:cs="Arial"/>
          <w:smallCaps/>
          <w:sz w:val="20"/>
          <w:szCs w:val="20"/>
        </w:rPr>
        <w:t>P</w:t>
      </w:r>
      <w:r w:rsidR="003B2F6E">
        <w:rPr>
          <w:rFonts w:ascii="Arial" w:eastAsia="Calibri" w:hAnsi="Arial" w:cs="Arial"/>
          <w:smallCaps/>
          <w:sz w:val="20"/>
          <w:szCs w:val="20"/>
        </w:rPr>
        <w:t>ie</w:t>
      </w:r>
      <w:r w:rsidRPr="00F30EB5">
        <w:rPr>
          <w:rFonts w:ascii="Arial" w:eastAsia="Calibri" w:hAnsi="Arial" w:cs="Arial"/>
          <w:smallCaps/>
          <w:sz w:val="20"/>
          <w:szCs w:val="20"/>
        </w:rPr>
        <w:t>s</w:t>
      </w:r>
    </w:p>
    <w:p w:rsidR="00FF193F" w:rsidRPr="00CD06C0" w:rsidRDefault="00FF193F" w:rsidP="00A95BA6">
      <w:pPr>
        <w:pStyle w:val="StyleLeft585pt"/>
        <w:spacing w:before="120"/>
        <w:ind w:left="0"/>
        <w:jc w:val="both"/>
        <w:rPr>
          <w:rFonts w:ascii="Arial" w:hAnsi="Arial" w:cs="Arial"/>
          <w:i/>
          <w:sz w:val="20"/>
        </w:rPr>
      </w:pPr>
      <w:r w:rsidRPr="00CD06C0">
        <w:rPr>
          <w:rFonts w:ascii="Arial" w:hAnsi="Arial" w:cs="Arial"/>
          <w:i/>
          <w:sz w:val="20"/>
        </w:rPr>
        <w:t>CAG Representatives</w:t>
      </w:r>
      <w:r>
        <w:rPr>
          <w:rFonts w:ascii="Arial" w:hAnsi="Arial" w:cs="Arial"/>
          <w:i/>
          <w:sz w:val="20"/>
        </w:rPr>
        <w:t>’</w:t>
      </w:r>
      <w:r w:rsidRPr="00CD06C0">
        <w:rPr>
          <w:rFonts w:ascii="Arial" w:hAnsi="Arial" w:cs="Arial"/>
          <w:i/>
          <w:sz w:val="20"/>
        </w:rPr>
        <w:t xml:space="preserve"> </w:t>
      </w:r>
      <w:r>
        <w:rPr>
          <w:rFonts w:ascii="Arial" w:hAnsi="Arial" w:cs="Arial"/>
          <w:i/>
          <w:sz w:val="20"/>
        </w:rPr>
        <w:t>Comments</w:t>
      </w:r>
    </w:p>
    <w:p w:rsidR="00FF193F" w:rsidRDefault="005E5CAB" w:rsidP="00604CB6">
      <w:pPr>
        <w:pStyle w:val="StyleLeft585pt"/>
        <w:numPr>
          <w:ilvl w:val="0"/>
          <w:numId w:val="7"/>
        </w:numPr>
        <w:spacing w:before="120"/>
        <w:ind w:left="547" w:hanging="547"/>
        <w:jc w:val="both"/>
        <w:rPr>
          <w:rFonts w:ascii="Arial" w:hAnsi="Arial" w:cs="Arial"/>
          <w:sz w:val="20"/>
        </w:rPr>
      </w:pPr>
      <w:r>
        <w:rPr>
          <w:rFonts w:ascii="Arial" w:hAnsi="Arial" w:cs="Arial"/>
          <w:sz w:val="20"/>
        </w:rPr>
        <w:t xml:space="preserve">At the March 2014 CAG meeting, CAG </w:t>
      </w:r>
      <w:r w:rsidR="00FF193F" w:rsidRPr="00CD06C0">
        <w:rPr>
          <w:rFonts w:ascii="Arial" w:hAnsi="Arial" w:cs="Arial"/>
          <w:sz w:val="20"/>
        </w:rPr>
        <w:t>Representatives were requested to provide their views on the options of a uniform cooling-off period for all KAPs or a bifurcation of cooling-off periods</w:t>
      </w:r>
      <w:r w:rsidR="00886B21">
        <w:rPr>
          <w:rFonts w:ascii="Arial" w:hAnsi="Arial" w:cs="Arial"/>
          <w:sz w:val="20"/>
        </w:rPr>
        <w:t xml:space="preserve"> for different roles</w:t>
      </w:r>
      <w:r w:rsidR="00FF193F" w:rsidRPr="00CD06C0">
        <w:rPr>
          <w:rFonts w:ascii="Arial" w:hAnsi="Arial" w:cs="Arial"/>
          <w:sz w:val="20"/>
        </w:rPr>
        <w:t xml:space="preserve">. </w:t>
      </w:r>
      <w:r w:rsidR="00FF193F" w:rsidRPr="00074A17">
        <w:rPr>
          <w:rFonts w:ascii="Arial" w:hAnsi="Arial" w:cs="Arial"/>
          <w:sz w:val="20"/>
        </w:rPr>
        <w:t>Representatives who expressed a view all indicated a preference for a uniform cooling-off period</w:t>
      </w:r>
      <w:r w:rsidR="00074A17" w:rsidRPr="00074A17">
        <w:rPr>
          <w:rFonts w:ascii="Arial" w:hAnsi="Arial" w:cs="Arial"/>
          <w:sz w:val="20"/>
        </w:rPr>
        <w:t xml:space="preserve"> of</w:t>
      </w:r>
      <w:r w:rsidR="00FF193F" w:rsidRPr="00074A17">
        <w:rPr>
          <w:rFonts w:ascii="Arial" w:hAnsi="Arial" w:cs="Arial"/>
          <w:sz w:val="20"/>
        </w:rPr>
        <w:t xml:space="preserve"> </w:t>
      </w:r>
      <w:r w:rsidR="003C5781" w:rsidRPr="00074A17">
        <w:rPr>
          <w:rFonts w:ascii="Arial" w:hAnsi="Arial" w:cs="Arial"/>
          <w:sz w:val="20"/>
        </w:rPr>
        <w:t xml:space="preserve">three years </w:t>
      </w:r>
      <w:r w:rsidR="00FF193F" w:rsidRPr="00074A17">
        <w:rPr>
          <w:rFonts w:ascii="Arial" w:hAnsi="Arial" w:cs="Arial"/>
          <w:sz w:val="20"/>
        </w:rPr>
        <w:t>for all KAPs, noting that a bifurcation would create unnecessary complexity. Representatives still maintained this preference even once informed that a cooling-off period of three years would affect</w:t>
      </w:r>
      <w:r w:rsidR="00FF193F" w:rsidRPr="00CD06C0">
        <w:rPr>
          <w:rFonts w:ascii="Arial" w:hAnsi="Arial" w:cs="Arial"/>
          <w:sz w:val="20"/>
        </w:rPr>
        <w:t xml:space="preserve"> all jurisdictions</w:t>
      </w:r>
      <w:r w:rsidR="00F245E7">
        <w:rPr>
          <w:rFonts w:ascii="Arial" w:hAnsi="Arial" w:cs="Arial"/>
          <w:sz w:val="20"/>
        </w:rPr>
        <w:t xml:space="preserve"> that have adopted or are adopting the Code, or are on a process of eliminating differences with the Code</w:t>
      </w:r>
      <w:r w:rsidR="00FF193F">
        <w:rPr>
          <w:rFonts w:ascii="Arial" w:hAnsi="Arial" w:cs="Arial"/>
          <w:sz w:val="20"/>
        </w:rPr>
        <w:t>.</w:t>
      </w:r>
    </w:p>
    <w:p w:rsidR="00FF193F" w:rsidRDefault="00FF193F" w:rsidP="00604CB6">
      <w:pPr>
        <w:pStyle w:val="StyleLeft585pt"/>
        <w:numPr>
          <w:ilvl w:val="0"/>
          <w:numId w:val="7"/>
        </w:numPr>
        <w:spacing w:before="120"/>
        <w:ind w:left="547" w:hanging="547"/>
        <w:jc w:val="both"/>
        <w:rPr>
          <w:rFonts w:ascii="Arial" w:hAnsi="Arial" w:cs="Arial"/>
          <w:sz w:val="20"/>
        </w:rPr>
      </w:pPr>
      <w:r>
        <w:rPr>
          <w:rFonts w:ascii="Arial" w:hAnsi="Arial" w:cs="Arial"/>
          <w:sz w:val="20"/>
        </w:rPr>
        <w:t xml:space="preserve">In addition, Representatives were requested to provide their views on the ideal length of the cooling-off period. Those </w:t>
      </w:r>
      <w:r w:rsidR="005E5CAB">
        <w:rPr>
          <w:rFonts w:ascii="Arial" w:hAnsi="Arial" w:cs="Arial"/>
          <w:sz w:val="20"/>
        </w:rPr>
        <w:t>who</w:t>
      </w:r>
      <w:r>
        <w:rPr>
          <w:rFonts w:ascii="Arial" w:hAnsi="Arial" w:cs="Arial"/>
          <w:sz w:val="20"/>
        </w:rPr>
        <w:t xml:space="preserve"> expressed views acknowledged </w:t>
      </w:r>
      <w:r w:rsidR="005E5CAB">
        <w:rPr>
          <w:rFonts w:ascii="Arial" w:hAnsi="Arial" w:cs="Arial"/>
          <w:sz w:val="20"/>
        </w:rPr>
        <w:t xml:space="preserve">that </w:t>
      </w:r>
      <w:r>
        <w:rPr>
          <w:rFonts w:ascii="Arial" w:hAnsi="Arial" w:cs="Arial"/>
          <w:sz w:val="20"/>
        </w:rPr>
        <w:t>a cooling-off period of more than two years was preferable. However, no views were expressed on what would be an ideal cooling-off period for all KAPs.</w:t>
      </w:r>
    </w:p>
    <w:p w:rsidR="00521785" w:rsidRPr="00521785" w:rsidRDefault="007F47B5" w:rsidP="007F47B5">
      <w:pPr>
        <w:pStyle w:val="StyleLeft585pt"/>
        <w:spacing w:before="240" w:after="120"/>
        <w:ind w:left="-90"/>
        <w:jc w:val="both"/>
        <w:rPr>
          <w:rFonts w:ascii="Arial" w:hAnsi="Arial" w:cs="Arial"/>
          <w:i/>
          <w:sz w:val="20"/>
        </w:rPr>
      </w:pPr>
      <w:r>
        <w:rPr>
          <w:rFonts w:ascii="Arial" w:hAnsi="Arial" w:cs="Arial"/>
          <w:i/>
          <w:sz w:val="20"/>
        </w:rPr>
        <w:t>All PIEs o</w:t>
      </w:r>
      <w:r w:rsidR="003C5781">
        <w:rPr>
          <w:rFonts w:ascii="Arial" w:hAnsi="Arial" w:cs="Arial"/>
          <w:i/>
          <w:sz w:val="20"/>
        </w:rPr>
        <w:t>r</w:t>
      </w:r>
      <w:r>
        <w:rPr>
          <w:rFonts w:ascii="Arial" w:hAnsi="Arial" w:cs="Arial"/>
          <w:i/>
          <w:sz w:val="20"/>
        </w:rPr>
        <w:t xml:space="preserve"> Listed entities</w:t>
      </w:r>
      <w:r w:rsidR="00651EB6" w:rsidRPr="00A81DEB">
        <w:rPr>
          <w:rFonts w:ascii="Arial" w:hAnsi="Arial" w:cs="Arial"/>
          <w:sz w:val="20"/>
        </w:rPr>
        <w:t xml:space="preserve"> </w:t>
      </w:r>
    </w:p>
    <w:p w:rsidR="00E141E8" w:rsidRDefault="003C5781" w:rsidP="00886B21">
      <w:pPr>
        <w:pStyle w:val="StyleLeft585pt"/>
        <w:numPr>
          <w:ilvl w:val="0"/>
          <w:numId w:val="7"/>
        </w:numPr>
        <w:spacing w:before="120"/>
        <w:ind w:hanging="540"/>
        <w:jc w:val="both"/>
        <w:rPr>
          <w:rFonts w:ascii="Arial" w:hAnsi="Arial" w:cs="Arial"/>
          <w:sz w:val="20"/>
        </w:rPr>
      </w:pPr>
      <w:r>
        <w:rPr>
          <w:rFonts w:ascii="Arial" w:hAnsi="Arial" w:cs="Arial"/>
          <w:sz w:val="20"/>
        </w:rPr>
        <w:t>The</w:t>
      </w:r>
      <w:r w:rsidR="00E141E8">
        <w:rPr>
          <w:rFonts w:ascii="Arial" w:hAnsi="Arial" w:cs="Arial"/>
          <w:sz w:val="20"/>
        </w:rPr>
        <w:t xml:space="preserve"> TF </w:t>
      </w:r>
      <w:r>
        <w:rPr>
          <w:rFonts w:ascii="Arial" w:hAnsi="Arial" w:cs="Arial"/>
          <w:sz w:val="20"/>
        </w:rPr>
        <w:t xml:space="preserve">had </w:t>
      </w:r>
      <w:r w:rsidR="00E141E8">
        <w:rPr>
          <w:rFonts w:ascii="Arial" w:hAnsi="Arial" w:cs="Arial"/>
          <w:sz w:val="20"/>
        </w:rPr>
        <w:t>formed the view that if the LAEP were to be subject to a longer cooling-off period, the requirement should apply only to LAEPs on the audit of listed entities.</w:t>
      </w:r>
      <w:r>
        <w:rPr>
          <w:rFonts w:ascii="Arial" w:hAnsi="Arial" w:cs="Arial"/>
          <w:sz w:val="20"/>
        </w:rPr>
        <w:t xml:space="preserve"> </w:t>
      </w:r>
    </w:p>
    <w:p w:rsidR="0051770D" w:rsidRDefault="0051770D" w:rsidP="0051770D">
      <w:pPr>
        <w:pStyle w:val="StyleLeft585pt"/>
        <w:numPr>
          <w:ilvl w:val="0"/>
          <w:numId w:val="7"/>
        </w:numPr>
        <w:spacing w:before="120"/>
        <w:ind w:hanging="540"/>
        <w:jc w:val="both"/>
        <w:rPr>
          <w:rFonts w:ascii="Arial" w:hAnsi="Arial" w:cs="Arial"/>
          <w:sz w:val="20"/>
        </w:rPr>
      </w:pPr>
      <w:r w:rsidRPr="00DA2E04">
        <w:rPr>
          <w:rFonts w:ascii="Arial" w:hAnsi="Arial" w:cs="Arial"/>
          <w:sz w:val="20"/>
        </w:rPr>
        <w:t xml:space="preserve">While </w:t>
      </w:r>
      <w:r>
        <w:rPr>
          <w:rFonts w:ascii="Arial" w:hAnsi="Arial" w:cs="Arial"/>
          <w:sz w:val="20"/>
        </w:rPr>
        <w:t xml:space="preserve">it is acknowledged that </w:t>
      </w:r>
      <w:r w:rsidRPr="00DA2E04">
        <w:rPr>
          <w:rFonts w:ascii="Arial" w:hAnsi="Arial" w:cs="Arial"/>
          <w:sz w:val="20"/>
        </w:rPr>
        <w:t xml:space="preserve">all PIEs are entities of public interest, the TF considered </w:t>
      </w:r>
      <w:r w:rsidR="00886B21">
        <w:rPr>
          <w:rFonts w:ascii="Arial" w:hAnsi="Arial" w:cs="Arial"/>
          <w:sz w:val="20"/>
        </w:rPr>
        <w:t>that</w:t>
      </w:r>
      <w:r w:rsidR="00886B21" w:rsidRPr="00DA2E04">
        <w:rPr>
          <w:rFonts w:ascii="Arial" w:hAnsi="Arial" w:cs="Arial"/>
          <w:sz w:val="20"/>
        </w:rPr>
        <w:t xml:space="preserve"> </w:t>
      </w:r>
      <w:r w:rsidRPr="00DA2E04">
        <w:rPr>
          <w:rFonts w:ascii="Arial" w:hAnsi="Arial" w:cs="Arial"/>
          <w:sz w:val="20"/>
        </w:rPr>
        <w:t>a five</w:t>
      </w:r>
      <w:r w:rsidR="00302CD1">
        <w:rPr>
          <w:rFonts w:ascii="Arial" w:hAnsi="Arial" w:cs="Arial"/>
          <w:sz w:val="20"/>
        </w:rPr>
        <w:t>-</w:t>
      </w:r>
      <w:r w:rsidRPr="00DA2E04">
        <w:rPr>
          <w:rFonts w:ascii="Arial" w:hAnsi="Arial" w:cs="Arial"/>
          <w:sz w:val="20"/>
        </w:rPr>
        <w:t xml:space="preserve">year cooling-off period for all LAEPs on all PIEs would have too high an </w:t>
      </w:r>
      <w:r>
        <w:rPr>
          <w:rFonts w:ascii="Arial" w:hAnsi="Arial" w:cs="Arial"/>
          <w:sz w:val="20"/>
        </w:rPr>
        <w:t xml:space="preserve">implementation </w:t>
      </w:r>
      <w:r w:rsidRPr="00DA2E04">
        <w:rPr>
          <w:rFonts w:ascii="Arial" w:hAnsi="Arial" w:cs="Arial"/>
          <w:sz w:val="20"/>
        </w:rPr>
        <w:t xml:space="preserve">impact considering </w:t>
      </w:r>
      <w:r>
        <w:rPr>
          <w:rFonts w:ascii="Arial" w:hAnsi="Arial" w:cs="Arial"/>
          <w:sz w:val="20"/>
        </w:rPr>
        <w:t xml:space="preserve">the increased complexity of overlaying these requirements on local legislation </w:t>
      </w:r>
      <w:r w:rsidRPr="00DA2E04">
        <w:rPr>
          <w:rFonts w:ascii="Arial" w:hAnsi="Arial" w:cs="Arial"/>
          <w:sz w:val="20"/>
        </w:rPr>
        <w:t>(many jurisdictions have local legislation that is stricter than the Code only in respect of listed entities).</w:t>
      </w:r>
      <w:r>
        <w:rPr>
          <w:rFonts w:ascii="Arial" w:hAnsi="Arial" w:cs="Arial"/>
          <w:sz w:val="20"/>
        </w:rPr>
        <w:t xml:space="preserve"> </w:t>
      </w:r>
      <w:r w:rsidRPr="00DA2E04">
        <w:rPr>
          <w:rFonts w:ascii="Arial" w:hAnsi="Arial" w:cs="Arial"/>
          <w:sz w:val="20"/>
        </w:rPr>
        <w:t xml:space="preserve">The TF also considered the greater stakeholder interest, public interest and regulatory oversight associated with listed companies which may warrant </w:t>
      </w:r>
      <w:r>
        <w:rPr>
          <w:rFonts w:ascii="Arial" w:hAnsi="Arial" w:cs="Arial"/>
          <w:sz w:val="20"/>
        </w:rPr>
        <w:t xml:space="preserve">longer cooling-off </w:t>
      </w:r>
      <w:r w:rsidRPr="00DA2E04">
        <w:rPr>
          <w:rFonts w:ascii="Arial" w:hAnsi="Arial" w:cs="Arial"/>
          <w:sz w:val="20"/>
        </w:rPr>
        <w:t xml:space="preserve">requirements to apply only at a listed company level. </w:t>
      </w:r>
    </w:p>
    <w:p w:rsidR="003C5781" w:rsidRDefault="003C5781" w:rsidP="003C5781">
      <w:pPr>
        <w:pStyle w:val="StyleLeft585pt"/>
        <w:spacing w:before="240"/>
        <w:ind w:left="0"/>
        <w:jc w:val="both"/>
        <w:rPr>
          <w:rFonts w:ascii="Arial" w:hAnsi="Arial" w:cs="Arial"/>
          <w:i/>
          <w:sz w:val="20"/>
        </w:rPr>
      </w:pPr>
      <w:r>
        <w:rPr>
          <w:rFonts w:ascii="Arial" w:hAnsi="Arial" w:cs="Arial"/>
          <w:i/>
          <w:sz w:val="20"/>
        </w:rPr>
        <w:t>Comments made at the April Board meeting</w:t>
      </w:r>
    </w:p>
    <w:p w:rsidR="00E01408" w:rsidRDefault="003C5781" w:rsidP="001F64F4">
      <w:pPr>
        <w:pStyle w:val="StyleLeft585pt"/>
        <w:numPr>
          <w:ilvl w:val="0"/>
          <w:numId w:val="7"/>
        </w:numPr>
        <w:spacing w:before="120" w:after="120"/>
        <w:ind w:left="547" w:hanging="547"/>
        <w:jc w:val="both"/>
        <w:rPr>
          <w:rFonts w:ascii="Arial" w:hAnsi="Arial" w:cs="Arial"/>
          <w:sz w:val="20"/>
        </w:rPr>
      </w:pPr>
      <w:r w:rsidRPr="00E01408">
        <w:rPr>
          <w:rFonts w:ascii="Arial" w:hAnsi="Arial" w:cs="Arial"/>
          <w:sz w:val="20"/>
        </w:rPr>
        <w:t xml:space="preserve">At the IESBA meeting in April 2014, </w:t>
      </w:r>
      <w:r w:rsidR="00886B21" w:rsidRPr="00E01408">
        <w:rPr>
          <w:rFonts w:ascii="Arial" w:hAnsi="Arial" w:cs="Arial"/>
          <w:sz w:val="20"/>
        </w:rPr>
        <w:t xml:space="preserve">while recognizing the views of CAG representatives </w:t>
      </w:r>
      <w:r w:rsidR="00302CD1">
        <w:rPr>
          <w:rFonts w:ascii="Arial" w:hAnsi="Arial" w:cs="Arial"/>
          <w:sz w:val="20"/>
        </w:rPr>
        <w:t xml:space="preserve">outlined </w:t>
      </w:r>
      <w:r w:rsidR="00886B21" w:rsidRPr="00E01408">
        <w:rPr>
          <w:rFonts w:ascii="Arial" w:hAnsi="Arial" w:cs="Arial"/>
          <w:sz w:val="20"/>
        </w:rPr>
        <w:t xml:space="preserve">above, </w:t>
      </w:r>
      <w:r w:rsidRPr="00E01408">
        <w:rPr>
          <w:rFonts w:ascii="Arial" w:hAnsi="Arial" w:cs="Arial"/>
          <w:sz w:val="20"/>
        </w:rPr>
        <w:t xml:space="preserve">the majority of the Board agreed </w:t>
      </w:r>
      <w:r w:rsidR="00857007" w:rsidRPr="00E01408">
        <w:rPr>
          <w:rFonts w:ascii="Arial" w:hAnsi="Arial" w:cs="Arial"/>
          <w:sz w:val="20"/>
        </w:rPr>
        <w:t xml:space="preserve">with </w:t>
      </w:r>
      <w:r w:rsidRPr="00E01408">
        <w:rPr>
          <w:rFonts w:ascii="Arial" w:hAnsi="Arial" w:cs="Arial"/>
          <w:sz w:val="20"/>
        </w:rPr>
        <w:t>the TF’s proposal that after a seven</w:t>
      </w:r>
      <w:r w:rsidR="008C1DE6">
        <w:rPr>
          <w:rFonts w:ascii="Arial" w:hAnsi="Arial" w:cs="Arial"/>
          <w:sz w:val="20"/>
        </w:rPr>
        <w:t>-</w:t>
      </w:r>
      <w:r w:rsidRPr="00E01408">
        <w:rPr>
          <w:rFonts w:ascii="Arial" w:hAnsi="Arial" w:cs="Arial"/>
          <w:sz w:val="20"/>
        </w:rPr>
        <w:t>year period of service, the cooling-off period be extend</w:t>
      </w:r>
      <w:r w:rsidR="007B31BD" w:rsidRPr="00E01408">
        <w:rPr>
          <w:rFonts w:ascii="Arial" w:hAnsi="Arial" w:cs="Arial"/>
          <w:sz w:val="20"/>
        </w:rPr>
        <w:t>ed</w:t>
      </w:r>
      <w:r w:rsidRPr="00E01408">
        <w:rPr>
          <w:rFonts w:ascii="Arial" w:hAnsi="Arial" w:cs="Arial"/>
          <w:sz w:val="20"/>
        </w:rPr>
        <w:t xml:space="preserve"> to five years for the LAEP serving on the audit client rather three years.</w:t>
      </w:r>
      <w:r w:rsidR="007D71C2" w:rsidRPr="00E01408">
        <w:rPr>
          <w:rFonts w:ascii="Arial" w:hAnsi="Arial" w:cs="Arial"/>
          <w:sz w:val="20"/>
        </w:rPr>
        <w:t xml:space="preserve"> </w:t>
      </w:r>
      <w:r w:rsidRPr="00E01408">
        <w:rPr>
          <w:rFonts w:ascii="Arial" w:hAnsi="Arial" w:cs="Arial"/>
          <w:sz w:val="20"/>
        </w:rPr>
        <w:t>However, the view of the majority of the Board was that that there was little or no justification for distinguishing listed companies from PIEs and the longer cooling-off period should apply to the LAEP for the audits of all PIEs rather for just audits of listed entities.</w:t>
      </w:r>
    </w:p>
    <w:p w:rsidR="00886B21" w:rsidRPr="00E01408" w:rsidRDefault="00886B21" w:rsidP="001F64F4">
      <w:pPr>
        <w:pStyle w:val="StyleLeft585pt"/>
        <w:numPr>
          <w:ilvl w:val="0"/>
          <w:numId w:val="7"/>
        </w:numPr>
        <w:spacing w:before="120" w:after="120"/>
        <w:ind w:left="547" w:hanging="547"/>
        <w:jc w:val="both"/>
        <w:rPr>
          <w:rFonts w:ascii="Arial" w:hAnsi="Arial" w:cs="Arial"/>
          <w:sz w:val="20"/>
        </w:rPr>
      </w:pPr>
      <w:r w:rsidRPr="00E01408">
        <w:rPr>
          <w:rFonts w:ascii="Arial" w:hAnsi="Arial" w:cs="Arial"/>
          <w:sz w:val="20"/>
        </w:rPr>
        <w:t xml:space="preserve">The TF has deliberated on the comments from the Board and made further amendments to the proposals attached in </w:t>
      </w:r>
      <w:r w:rsidR="00302CD1">
        <w:rPr>
          <w:rFonts w:ascii="Arial" w:hAnsi="Arial" w:cs="Arial"/>
          <w:sz w:val="20"/>
        </w:rPr>
        <w:t>A</w:t>
      </w:r>
      <w:r w:rsidR="00E01408">
        <w:rPr>
          <w:rFonts w:ascii="Arial" w:hAnsi="Arial" w:cs="Arial"/>
          <w:sz w:val="20"/>
        </w:rPr>
        <w:t xml:space="preserve">genda </w:t>
      </w:r>
      <w:r w:rsidR="00302CD1">
        <w:rPr>
          <w:rFonts w:ascii="Arial" w:hAnsi="Arial" w:cs="Arial"/>
          <w:sz w:val="20"/>
        </w:rPr>
        <w:t>I</w:t>
      </w:r>
      <w:r w:rsidR="00205089">
        <w:rPr>
          <w:rFonts w:ascii="Arial" w:hAnsi="Arial" w:cs="Arial"/>
          <w:sz w:val="20"/>
        </w:rPr>
        <w:t>tem</w:t>
      </w:r>
      <w:r w:rsidR="00E01408">
        <w:rPr>
          <w:rFonts w:ascii="Arial" w:hAnsi="Arial" w:cs="Arial"/>
          <w:sz w:val="20"/>
        </w:rPr>
        <w:t xml:space="preserve"> </w:t>
      </w:r>
      <w:r w:rsidR="00975FDA">
        <w:rPr>
          <w:rFonts w:ascii="Arial" w:hAnsi="Arial" w:cs="Arial"/>
          <w:sz w:val="20"/>
        </w:rPr>
        <w:t>A-</w:t>
      </w:r>
      <w:r w:rsidR="00553908">
        <w:rPr>
          <w:rFonts w:ascii="Arial" w:hAnsi="Arial" w:cs="Arial"/>
          <w:sz w:val="20"/>
        </w:rPr>
        <w:t xml:space="preserve">2 </w:t>
      </w:r>
      <w:r w:rsidRPr="00E01408">
        <w:rPr>
          <w:rFonts w:ascii="Arial" w:hAnsi="Arial" w:cs="Arial"/>
          <w:sz w:val="20"/>
        </w:rPr>
        <w:t>to extend the five</w:t>
      </w:r>
      <w:r w:rsidR="00975FDA">
        <w:rPr>
          <w:rFonts w:ascii="Arial" w:hAnsi="Arial" w:cs="Arial"/>
          <w:sz w:val="20"/>
        </w:rPr>
        <w:t>-</w:t>
      </w:r>
      <w:r w:rsidRPr="00E01408">
        <w:rPr>
          <w:rFonts w:ascii="Arial" w:hAnsi="Arial" w:cs="Arial"/>
          <w:sz w:val="20"/>
        </w:rPr>
        <w:t>year cooling-off period to the engagement partner for the audit of PIE</w:t>
      </w:r>
      <w:r w:rsidR="00302CD1">
        <w:rPr>
          <w:rFonts w:ascii="Arial" w:hAnsi="Arial" w:cs="Arial"/>
          <w:sz w:val="20"/>
        </w:rPr>
        <w:t>s</w:t>
      </w:r>
      <w:r w:rsidRPr="00E01408">
        <w:rPr>
          <w:rFonts w:ascii="Arial" w:hAnsi="Arial" w:cs="Arial"/>
          <w:sz w:val="20"/>
        </w:rPr>
        <w:t xml:space="preserve">. These proposals will be presented to the Board at its July 2014 meeting. </w:t>
      </w:r>
    </w:p>
    <w:p w:rsidR="007B4533" w:rsidRPr="007B4533" w:rsidRDefault="007B4533" w:rsidP="00302CD1">
      <w:pPr>
        <w:pStyle w:val="StyleLeft585pt"/>
        <w:spacing w:before="240" w:after="120"/>
        <w:ind w:left="0"/>
        <w:jc w:val="both"/>
        <w:rPr>
          <w:rFonts w:ascii="Arial" w:hAnsi="Arial" w:cs="Arial"/>
          <w:i/>
          <w:sz w:val="20"/>
        </w:rPr>
      </w:pPr>
      <w:r>
        <w:rPr>
          <w:rFonts w:ascii="Arial" w:hAnsi="Arial" w:cs="Arial"/>
          <w:i/>
          <w:sz w:val="20"/>
        </w:rPr>
        <w:t>Co</w:t>
      </w:r>
      <w:r w:rsidR="005248C2">
        <w:rPr>
          <w:rFonts w:ascii="Arial" w:hAnsi="Arial" w:cs="Arial"/>
          <w:i/>
          <w:sz w:val="20"/>
        </w:rPr>
        <w:t>mments from the IFAC Small and M</w:t>
      </w:r>
      <w:r>
        <w:rPr>
          <w:rFonts w:ascii="Arial" w:hAnsi="Arial" w:cs="Arial"/>
          <w:i/>
          <w:sz w:val="20"/>
        </w:rPr>
        <w:t>edium Practices Committee (SMP</w:t>
      </w:r>
      <w:r w:rsidR="005248C2">
        <w:rPr>
          <w:rFonts w:ascii="Arial" w:hAnsi="Arial" w:cs="Arial"/>
          <w:i/>
          <w:sz w:val="20"/>
        </w:rPr>
        <w:t>C</w:t>
      </w:r>
      <w:r>
        <w:rPr>
          <w:rFonts w:ascii="Arial" w:hAnsi="Arial" w:cs="Arial"/>
          <w:i/>
          <w:sz w:val="20"/>
        </w:rPr>
        <w:t>)</w:t>
      </w:r>
    </w:p>
    <w:p w:rsidR="007B4533" w:rsidRDefault="00C45C8E" w:rsidP="00886B21">
      <w:pPr>
        <w:pStyle w:val="StyleLeft585pt"/>
        <w:numPr>
          <w:ilvl w:val="0"/>
          <w:numId w:val="7"/>
        </w:numPr>
        <w:spacing w:before="120" w:after="120"/>
        <w:ind w:left="547" w:hanging="547"/>
        <w:jc w:val="both"/>
        <w:rPr>
          <w:rFonts w:ascii="Arial" w:hAnsi="Arial" w:cs="Arial"/>
          <w:sz w:val="20"/>
        </w:rPr>
      </w:pPr>
      <w:r>
        <w:rPr>
          <w:rFonts w:ascii="Arial" w:hAnsi="Arial" w:cs="Arial"/>
          <w:sz w:val="20"/>
        </w:rPr>
        <w:t xml:space="preserve">In </w:t>
      </w:r>
      <w:r w:rsidR="00302CD1">
        <w:rPr>
          <w:rFonts w:ascii="Arial" w:hAnsi="Arial" w:cs="Arial"/>
          <w:sz w:val="20"/>
        </w:rPr>
        <w:t xml:space="preserve">commenting on the </w:t>
      </w:r>
      <w:r>
        <w:rPr>
          <w:rFonts w:ascii="Arial" w:hAnsi="Arial" w:cs="Arial"/>
          <w:sz w:val="20"/>
        </w:rPr>
        <w:t>IESBA’</w:t>
      </w:r>
      <w:r w:rsidR="0063533E">
        <w:rPr>
          <w:rFonts w:ascii="Arial" w:hAnsi="Arial" w:cs="Arial"/>
          <w:sz w:val="20"/>
        </w:rPr>
        <w:t xml:space="preserve">s April </w:t>
      </w:r>
      <w:r w:rsidR="00302CD1">
        <w:rPr>
          <w:rFonts w:ascii="Arial" w:hAnsi="Arial" w:cs="Arial"/>
          <w:sz w:val="20"/>
        </w:rPr>
        <w:t xml:space="preserve">2014 agenda material, </w:t>
      </w:r>
      <w:r>
        <w:rPr>
          <w:rFonts w:ascii="Arial" w:hAnsi="Arial" w:cs="Arial"/>
          <w:sz w:val="20"/>
        </w:rPr>
        <w:t>t</w:t>
      </w:r>
      <w:r w:rsidR="00AF30A4">
        <w:rPr>
          <w:rFonts w:ascii="Arial" w:hAnsi="Arial" w:cs="Arial"/>
          <w:sz w:val="20"/>
        </w:rPr>
        <w:t xml:space="preserve">he </w:t>
      </w:r>
      <w:r w:rsidR="000E2052">
        <w:rPr>
          <w:rFonts w:ascii="Arial" w:hAnsi="Arial" w:cs="Arial"/>
          <w:sz w:val="20"/>
        </w:rPr>
        <w:t>SMPC indicated</w:t>
      </w:r>
      <w:r>
        <w:rPr>
          <w:rFonts w:ascii="Arial" w:hAnsi="Arial" w:cs="Arial"/>
          <w:sz w:val="20"/>
        </w:rPr>
        <w:t xml:space="preserve"> </w:t>
      </w:r>
      <w:r w:rsidR="000E2052">
        <w:rPr>
          <w:rFonts w:ascii="Arial" w:hAnsi="Arial" w:cs="Arial"/>
          <w:sz w:val="20"/>
        </w:rPr>
        <w:t>that it did not support the cooling</w:t>
      </w:r>
      <w:r w:rsidR="00AF30A4">
        <w:rPr>
          <w:rFonts w:ascii="Arial" w:hAnsi="Arial" w:cs="Arial"/>
          <w:sz w:val="20"/>
        </w:rPr>
        <w:t>-</w:t>
      </w:r>
      <w:r w:rsidR="000E2052">
        <w:rPr>
          <w:rFonts w:ascii="Arial" w:hAnsi="Arial" w:cs="Arial"/>
          <w:sz w:val="20"/>
        </w:rPr>
        <w:t>off period for the LAEP being extended to five o</w:t>
      </w:r>
      <w:r w:rsidR="00282FAE">
        <w:rPr>
          <w:rFonts w:ascii="Arial" w:hAnsi="Arial" w:cs="Arial"/>
          <w:sz w:val="20"/>
        </w:rPr>
        <w:t xml:space="preserve">r three years. </w:t>
      </w:r>
      <w:r w:rsidR="00302CD1">
        <w:rPr>
          <w:rFonts w:ascii="Arial" w:hAnsi="Arial" w:cs="Arial"/>
          <w:sz w:val="20"/>
        </w:rPr>
        <w:t>It added, that i</w:t>
      </w:r>
      <w:r w:rsidR="00282FAE">
        <w:rPr>
          <w:rFonts w:ascii="Arial" w:hAnsi="Arial" w:cs="Arial"/>
          <w:sz w:val="20"/>
        </w:rPr>
        <w:t>f it had</w:t>
      </w:r>
      <w:r w:rsidR="000E2052">
        <w:rPr>
          <w:rFonts w:ascii="Arial" w:hAnsi="Arial" w:cs="Arial"/>
          <w:sz w:val="20"/>
        </w:rPr>
        <w:t xml:space="preserve"> to make a choice</w:t>
      </w:r>
      <w:r w:rsidR="00302CD1">
        <w:rPr>
          <w:rFonts w:ascii="Arial" w:hAnsi="Arial" w:cs="Arial"/>
          <w:sz w:val="20"/>
        </w:rPr>
        <w:t>,</w:t>
      </w:r>
      <w:r w:rsidR="000E2052">
        <w:rPr>
          <w:rFonts w:ascii="Arial" w:hAnsi="Arial" w:cs="Arial"/>
          <w:sz w:val="20"/>
        </w:rPr>
        <w:t xml:space="preserve"> then it would prefer the initial proposal of three years. </w:t>
      </w:r>
      <w:r w:rsidR="00F31D32">
        <w:rPr>
          <w:rFonts w:ascii="Arial" w:hAnsi="Arial" w:cs="Arial"/>
          <w:sz w:val="20"/>
        </w:rPr>
        <w:t>Amongst other things</w:t>
      </w:r>
      <w:r w:rsidR="0057337E">
        <w:rPr>
          <w:rFonts w:ascii="Arial" w:hAnsi="Arial" w:cs="Arial"/>
          <w:sz w:val="20"/>
        </w:rPr>
        <w:t>,</w:t>
      </w:r>
      <w:r w:rsidR="00F31D32">
        <w:rPr>
          <w:rFonts w:ascii="Arial" w:hAnsi="Arial" w:cs="Arial"/>
          <w:sz w:val="20"/>
        </w:rPr>
        <w:t xml:space="preserve"> t</w:t>
      </w:r>
      <w:r w:rsidR="000E2052">
        <w:rPr>
          <w:rFonts w:ascii="Arial" w:hAnsi="Arial" w:cs="Arial"/>
          <w:sz w:val="20"/>
        </w:rPr>
        <w:t xml:space="preserve">he reasons for </w:t>
      </w:r>
      <w:r w:rsidR="00F31D32">
        <w:rPr>
          <w:rFonts w:ascii="Arial" w:hAnsi="Arial" w:cs="Arial"/>
          <w:sz w:val="20"/>
        </w:rPr>
        <w:t>the SMPC’s lack of support included:</w:t>
      </w:r>
    </w:p>
    <w:p w:rsidR="00F31D32" w:rsidRDefault="00F31D32" w:rsidP="00302CD1">
      <w:pPr>
        <w:pStyle w:val="StyleLeft585pt"/>
        <w:numPr>
          <w:ilvl w:val="1"/>
          <w:numId w:val="7"/>
        </w:numPr>
        <w:spacing w:before="120" w:after="120"/>
        <w:ind w:left="1080" w:hanging="540"/>
        <w:jc w:val="both"/>
        <w:rPr>
          <w:rFonts w:ascii="Arial" w:hAnsi="Arial" w:cs="Arial"/>
          <w:sz w:val="20"/>
        </w:rPr>
      </w:pPr>
      <w:r>
        <w:rPr>
          <w:rFonts w:ascii="Arial" w:hAnsi="Arial" w:cs="Arial"/>
          <w:sz w:val="20"/>
        </w:rPr>
        <w:t>Revision of the cooling-off period should be based on robust evidence in support of change</w:t>
      </w:r>
      <w:r w:rsidR="009325E0">
        <w:rPr>
          <w:rFonts w:ascii="Arial" w:hAnsi="Arial" w:cs="Arial"/>
          <w:sz w:val="20"/>
        </w:rPr>
        <w:t xml:space="preserve"> and</w:t>
      </w:r>
      <w:r w:rsidR="00A25157">
        <w:rPr>
          <w:rFonts w:ascii="Arial" w:hAnsi="Arial" w:cs="Arial"/>
          <w:sz w:val="20"/>
        </w:rPr>
        <w:t xml:space="preserve"> </w:t>
      </w:r>
      <w:r w:rsidR="009325E0">
        <w:rPr>
          <w:rFonts w:ascii="Arial" w:hAnsi="Arial" w:cs="Arial"/>
          <w:sz w:val="20"/>
        </w:rPr>
        <w:t>there is no concrete evidence to suggest that the current provisions for audit partner rotation have not worked satisfactorily</w:t>
      </w:r>
      <w:r w:rsidR="0057337E">
        <w:rPr>
          <w:rFonts w:ascii="Arial" w:hAnsi="Arial" w:cs="Arial"/>
          <w:sz w:val="20"/>
        </w:rPr>
        <w:t>.</w:t>
      </w:r>
    </w:p>
    <w:p w:rsidR="00F31D32" w:rsidRDefault="00F31D32" w:rsidP="00302CD1">
      <w:pPr>
        <w:pStyle w:val="StyleLeft585pt"/>
        <w:numPr>
          <w:ilvl w:val="1"/>
          <w:numId w:val="7"/>
        </w:numPr>
        <w:spacing w:before="120" w:after="120"/>
        <w:ind w:left="1080" w:hanging="540"/>
        <w:jc w:val="both"/>
        <w:rPr>
          <w:rFonts w:ascii="Arial" w:hAnsi="Arial" w:cs="Arial"/>
          <w:sz w:val="20"/>
        </w:rPr>
      </w:pPr>
      <w:r>
        <w:rPr>
          <w:rFonts w:ascii="Arial" w:hAnsi="Arial" w:cs="Arial"/>
          <w:sz w:val="20"/>
        </w:rPr>
        <w:t>The proposals would place unreasonable constraints on and present practical challenges to specialist partner resources which are required for PIE audits</w:t>
      </w:r>
      <w:r w:rsidR="009325E0">
        <w:rPr>
          <w:rFonts w:ascii="Arial" w:hAnsi="Arial" w:cs="Arial"/>
          <w:sz w:val="20"/>
        </w:rPr>
        <w:t xml:space="preserve"> and could have a disproportionate</w:t>
      </w:r>
      <w:r w:rsidR="00A414FC">
        <w:rPr>
          <w:rFonts w:ascii="Arial" w:hAnsi="Arial" w:cs="Arial"/>
          <w:sz w:val="20"/>
        </w:rPr>
        <w:t xml:space="preserve"> impact on SMPs</w:t>
      </w:r>
      <w:r w:rsidR="0057337E">
        <w:rPr>
          <w:rFonts w:ascii="Arial" w:hAnsi="Arial" w:cs="Arial"/>
          <w:sz w:val="20"/>
        </w:rPr>
        <w:t>.</w:t>
      </w:r>
    </w:p>
    <w:p w:rsidR="00AF30A4" w:rsidRDefault="00B1696A" w:rsidP="00302CD1">
      <w:pPr>
        <w:pStyle w:val="StyleLeft585pt"/>
        <w:numPr>
          <w:ilvl w:val="1"/>
          <w:numId w:val="7"/>
        </w:numPr>
        <w:spacing w:before="120" w:after="120"/>
        <w:ind w:left="1080" w:hanging="540"/>
        <w:jc w:val="both"/>
        <w:rPr>
          <w:rFonts w:ascii="Arial" w:hAnsi="Arial" w:cs="Arial"/>
          <w:sz w:val="20"/>
        </w:rPr>
      </w:pPr>
      <w:r>
        <w:rPr>
          <w:rFonts w:ascii="Arial" w:hAnsi="Arial" w:cs="Arial"/>
          <w:sz w:val="20"/>
        </w:rPr>
        <w:t xml:space="preserve">The proposals </w:t>
      </w:r>
      <w:r w:rsidR="00A414FC">
        <w:rPr>
          <w:rFonts w:ascii="Arial" w:hAnsi="Arial" w:cs="Arial"/>
          <w:sz w:val="20"/>
        </w:rPr>
        <w:t>c</w:t>
      </w:r>
      <w:r w:rsidR="00AF30A4">
        <w:rPr>
          <w:rFonts w:ascii="Arial" w:hAnsi="Arial" w:cs="Arial"/>
          <w:sz w:val="20"/>
        </w:rPr>
        <w:t>ould further exacerbate market dominance of the largest accountancy firms and lead to a further erosion of choice i</w:t>
      </w:r>
      <w:r w:rsidR="00282FAE">
        <w:rPr>
          <w:rFonts w:ascii="Arial" w:hAnsi="Arial" w:cs="Arial"/>
          <w:sz w:val="20"/>
        </w:rPr>
        <w:t xml:space="preserve">n the PIE audit </w:t>
      </w:r>
      <w:r w:rsidR="00AF30A4">
        <w:rPr>
          <w:rFonts w:ascii="Arial" w:hAnsi="Arial" w:cs="Arial"/>
          <w:sz w:val="20"/>
        </w:rPr>
        <w:t>market</w:t>
      </w:r>
      <w:r w:rsidR="0057337E">
        <w:rPr>
          <w:rFonts w:ascii="Arial" w:hAnsi="Arial" w:cs="Arial"/>
          <w:sz w:val="20"/>
        </w:rPr>
        <w:t>.</w:t>
      </w:r>
    </w:p>
    <w:p w:rsidR="00A25157" w:rsidRDefault="00A25157" w:rsidP="00302CD1">
      <w:pPr>
        <w:pStyle w:val="StyleLeft585pt"/>
        <w:numPr>
          <w:ilvl w:val="1"/>
          <w:numId w:val="7"/>
        </w:numPr>
        <w:spacing w:before="120" w:after="120"/>
        <w:ind w:left="1080" w:hanging="540"/>
        <w:jc w:val="both"/>
        <w:rPr>
          <w:rFonts w:ascii="Arial" w:hAnsi="Arial" w:cs="Arial"/>
          <w:sz w:val="20"/>
        </w:rPr>
      </w:pPr>
      <w:r>
        <w:rPr>
          <w:rFonts w:ascii="Arial" w:hAnsi="Arial" w:cs="Arial"/>
          <w:sz w:val="20"/>
        </w:rPr>
        <w:t>There are other equally effective alternatives to the proposals which are in place as safeguards</w:t>
      </w:r>
      <w:r w:rsidR="00391369">
        <w:rPr>
          <w:rFonts w:ascii="Arial" w:hAnsi="Arial" w:cs="Arial"/>
          <w:sz w:val="20"/>
        </w:rPr>
        <w:t>, for example,</w:t>
      </w:r>
      <w:r>
        <w:rPr>
          <w:rFonts w:ascii="Arial" w:hAnsi="Arial" w:cs="Arial"/>
          <w:sz w:val="20"/>
        </w:rPr>
        <w:t xml:space="preserve"> requirements in ISQC</w:t>
      </w:r>
      <w:r w:rsidR="00391369">
        <w:rPr>
          <w:rFonts w:ascii="Arial" w:hAnsi="Arial" w:cs="Arial"/>
          <w:sz w:val="20"/>
        </w:rPr>
        <w:t xml:space="preserve"> </w:t>
      </w:r>
      <w:r>
        <w:rPr>
          <w:rFonts w:ascii="Arial" w:hAnsi="Arial" w:cs="Arial"/>
          <w:sz w:val="20"/>
        </w:rPr>
        <w:t>1</w:t>
      </w:r>
      <w:r w:rsidR="000916B6">
        <w:rPr>
          <w:rStyle w:val="FootnoteReference"/>
          <w:rFonts w:ascii="Arial" w:hAnsi="Arial" w:cs="Arial"/>
          <w:sz w:val="20"/>
        </w:rPr>
        <w:footnoteReference w:id="4"/>
      </w:r>
      <w:r>
        <w:rPr>
          <w:rFonts w:ascii="Arial" w:hAnsi="Arial" w:cs="Arial"/>
          <w:sz w:val="20"/>
        </w:rPr>
        <w:t>.</w:t>
      </w:r>
    </w:p>
    <w:p w:rsidR="00AF30A4" w:rsidRDefault="00282FAE" w:rsidP="00302CD1">
      <w:pPr>
        <w:pStyle w:val="StyleLeft585pt"/>
        <w:numPr>
          <w:ilvl w:val="1"/>
          <w:numId w:val="7"/>
        </w:numPr>
        <w:spacing w:before="120" w:after="120"/>
        <w:ind w:left="1080" w:hanging="540"/>
        <w:jc w:val="both"/>
        <w:rPr>
          <w:rFonts w:ascii="Arial" w:hAnsi="Arial" w:cs="Arial"/>
          <w:sz w:val="20"/>
        </w:rPr>
      </w:pPr>
      <w:r>
        <w:rPr>
          <w:rFonts w:ascii="Arial" w:hAnsi="Arial" w:cs="Arial"/>
          <w:sz w:val="20"/>
        </w:rPr>
        <w:t xml:space="preserve">The </w:t>
      </w:r>
      <w:r w:rsidR="00A414FC">
        <w:rPr>
          <w:rFonts w:ascii="Arial" w:hAnsi="Arial" w:cs="Arial"/>
          <w:sz w:val="20"/>
        </w:rPr>
        <w:t xml:space="preserve">complexity of the </w:t>
      </w:r>
      <w:r w:rsidR="00A1747D">
        <w:rPr>
          <w:rFonts w:ascii="Arial" w:hAnsi="Arial" w:cs="Arial"/>
          <w:sz w:val="20"/>
        </w:rPr>
        <w:t xml:space="preserve">bifurcated approach </w:t>
      </w:r>
      <w:r w:rsidR="00AF30A4">
        <w:rPr>
          <w:rFonts w:ascii="Arial" w:hAnsi="Arial" w:cs="Arial"/>
          <w:sz w:val="20"/>
        </w:rPr>
        <w:t>may prove detrimental to the</w:t>
      </w:r>
      <w:r w:rsidR="00A1747D">
        <w:rPr>
          <w:rFonts w:ascii="Arial" w:hAnsi="Arial" w:cs="Arial"/>
          <w:sz w:val="20"/>
        </w:rPr>
        <w:t xml:space="preserve"> Code’</w:t>
      </w:r>
      <w:r w:rsidR="00904E0C">
        <w:rPr>
          <w:rFonts w:ascii="Arial" w:hAnsi="Arial" w:cs="Arial"/>
          <w:sz w:val="20"/>
        </w:rPr>
        <w:t>s</w:t>
      </w:r>
      <w:r w:rsidR="00AF30A4">
        <w:rPr>
          <w:rFonts w:ascii="Arial" w:hAnsi="Arial" w:cs="Arial"/>
          <w:sz w:val="20"/>
        </w:rPr>
        <w:t xml:space="preserve"> acceptance and adoption in certain </w:t>
      </w:r>
      <w:r w:rsidR="00074A17">
        <w:rPr>
          <w:rFonts w:ascii="Arial" w:hAnsi="Arial" w:cs="Arial"/>
          <w:sz w:val="20"/>
        </w:rPr>
        <w:t>jurisdictions</w:t>
      </w:r>
      <w:r w:rsidR="00A414FC">
        <w:rPr>
          <w:rFonts w:ascii="Arial" w:hAnsi="Arial" w:cs="Arial"/>
          <w:sz w:val="20"/>
        </w:rPr>
        <w:t xml:space="preserve"> and could have a disproportionate impact on SMPs.</w:t>
      </w:r>
    </w:p>
    <w:p w:rsidR="00EE0716" w:rsidRPr="00415F24" w:rsidRDefault="00EE0716" w:rsidP="00302CD1">
      <w:pPr>
        <w:pStyle w:val="StyleLeft585pt"/>
        <w:spacing w:before="240" w:after="120"/>
        <w:ind w:left="0"/>
        <w:jc w:val="both"/>
        <w:rPr>
          <w:rFonts w:ascii="Arial" w:hAnsi="Arial" w:cs="Arial"/>
          <w:i/>
          <w:sz w:val="20"/>
        </w:rPr>
      </w:pPr>
      <w:r w:rsidRPr="00415F24">
        <w:rPr>
          <w:rFonts w:ascii="Arial" w:hAnsi="Arial" w:cs="Arial"/>
          <w:i/>
          <w:sz w:val="20"/>
        </w:rPr>
        <w:t>National Standard Setters’</w:t>
      </w:r>
      <w:r w:rsidR="00415F24">
        <w:rPr>
          <w:rFonts w:ascii="Arial" w:hAnsi="Arial" w:cs="Arial"/>
          <w:i/>
          <w:sz w:val="20"/>
        </w:rPr>
        <w:t xml:space="preserve"> (NSS)</w:t>
      </w:r>
      <w:r w:rsidRPr="00415F24">
        <w:rPr>
          <w:rFonts w:ascii="Arial" w:hAnsi="Arial" w:cs="Arial"/>
          <w:i/>
          <w:sz w:val="20"/>
        </w:rPr>
        <w:t xml:space="preserve"> Comments</w:t>
      </w:r>
      <w:r w:rsidR="00B42C85">
        <w:rPr>
          <w:rFonts w:ascii="Arial" w:hAnsi="Arial" w:cs="Arial"/>
          <w:i/>
          <w:sz w:val="20"/>
        </w:rPr>
        <w:t xml:space="preserve"> </w:t>
      </w:r>
    </w:p>
    <w:p w:rsidR="00290B3F" w:rsidRPr="006146D0" w:rsidRDefault="00415F24" w:rsidP="00CD6D43">
      <w:pPr>
        <w:pStyle w:val="StyleLeft585pt"/>
        <w:numPr>
          <w:ilvl w:val="0"/>
          <w:numId w:val="7"/>
        </w:numPr>
        <w:spacing w:before="120"/>
        <w:ind w:hanging="540"/>
        <w:jc w:val="both"/>
        <w:rPr>
          <w:rFonts w:ascii="Arial" w:hAnsi="Arial" w:cs="Arial"/>
          <w:sz w:val="20"/>
        </w:rPr>
      </w:pPr>
      <w:r w:rsidRPr="00A644D8">
        <w:rPr>
          <w:rFonts w:ascii="Arial" w:hAnsi="Arial" w:cs="Arial"/>
          <w:sz w:val="20"/>
        </w:rPr>
        <w:t xml:space="preserve">At the May 2014 </w:t>
      </w:r>
      <w:r w:rsidR="00391369">
        <w:rPr>
          <w:rFonts w:ascii="Arial" w:hAnsi="Arial" w:cs="Arial"/>
          <w:sz w:val="20"/>
        </w:rPr>
        <w:t>IESBA-</w:t>
      </w:r>
      <w:r w:rsidRPr="00A644D8">
        <w:rPr>
          <w:rFonts w:ascii="Arial" w:hAnsi="Arial" w:cs="Arial"/>
          <w:sz w:val="20"/>
        </w:rPr>
        <w:t>NSS meeting</w:t>
      </w:r>
      <w:r w:rsidR="00F15B40" w:rsidRPr="00A644D8">
        <w:rPr>
          <w:rFonts w:ascii="Arial" w:hAnsi="Arial" w:cs="Arial"/>
          <w:sz w:val="20"/>
        </w:rPr>
        <w:t xml:space="preserve">, NSS participants were </w:t>
      </w:r>
      <w:r w:rsidR="00AA2D8B" w:rsidRPr="00A644D8">
        <w:rPr>
          <w:rFonts w:ascii="Arial" w:hAnsi="Arial" w:cs="Arial"/>
          <w:sz w:val="20"/>
        </w:rPr>
        <w:t xml:space="preserve">asked </w:t>
      </w:r>
      <w:r w:rsidR="004351B8" w:rsidRPr="00A644D8">
        <w:rPr>
          <w:rFonts w:ascii="Arial" w:hAnsi="Arial" w:cs="Arial"/>
          <w:sz w:val="20"/>
        </w:rPr>
        <w:t>if they supported the Board’s proposal that the current</w:t>
      </w:r>
      <w:r w:rsidR="001F1FA5" w:rsidRPr="00A644D8">
        <w:rPr>
          <w:rFonts w:ascii="Arial" w:hAnsi="Arial" w:cs="Arial"/>
          <w:sz w:val="20"/>
        </w:rPr>
        <w:t xml:space="preserve"> maximum </w:t>
      </w:r>
      <w:r w:rsidR="00237CA4" w:rsidRPr="00A644D8">
        <w:rPr>
          <w:rFonts w:ascii="Arial" w:hAnsi="Arial" w:cs="Arial"/>
          <w:sz w:val="20"/>
        </w:rPr>
        <w:t>time-on period of seven years</w:t>
      </w:r>
      <w:r w:rsidR="004351B8" w:rsidRPr="00A644D8">
        <w:rPr>
          <w:rFonts w:ascii="Arial" w:hAnsi="Arial" w:cs="Arial"/>
          <w:sz w:val="20"/>
        </w:rPr>
        <w:t xml:space="preserve"> </w:t>
      </w:r>
      <w:r w:rsidR="003C5781">
        <w:rPr>
          <w:rFonts w:ascii="Arial" w:hAnsi="Arial" w:cs="Arial"/>
          <w:sz w:val="20"/>
        </w:rPr>
        <w:t xml:space="preserve">remains appropriate and should </w:t>
      </w:r>
      <w:r w:rsidR="004351B8" w:rsidRPr="00A644D8">
        <w:rPr>
          <w:rFonts w:ascii="Arial" w:hAnsi="Arial" w:cs="Arial"/>
          <w:sz w:val="20"/>
        </w:rPr>
        <w:t xml:space="preserve">not be changed, </w:t>
      </w:r>
      <w:r w:rsidR="00237CA4" w:rsidRPr="00A644D8">
        <w:rPr>
          <w:rFonts w:ascii="Arial" w:hAnsi="Arial" w:cs="Arial"/>
          <w:sz w:val="20"/>
        </w:rPr>
        <w:t>but</w:t>
      </w:r>
      <w:r w:rsidR="004351B8" w:rsidRPr="00A644D8">
        <w:rPr>
          <w:rFonts w:ascii="Arial" w:hAnsi="Arial" w:cs="Arial"/>
          <w:sz w:val="20"/>
        </w:rPr>
        <w:t xml:space="preserve"> that</w:t>
      </w:r>
      <w:r w:rsidR="00237CA4" w:rsidRPr="00A644D8">
        <w:rPr>
          <w:rFonts w:ascii="Arial" w:hAnsi="Arial" w:cs="Arial"/>
          <w:sz w:val="20"/>
        </w:rPr>
        <w:t xml:space="preserve"> the cooling-off period of two years should be </w:t>
      </w:r>
      <w:r w:rsidR="00493FDB">
        <w:rPr>
          <w:rFonts w:ascii="Arial" w:hAnsi="Arial" w:cs="Arial"/>
          <w:sz w:val="20"/>
        </w:rPr>
        <w:t>extended</w:t>
      </w:r>
      <w:r w:rsidR="003C5781" w:rsidRPr="00A644D8">
        <w:rPr>
          <w:rFonts w:ascii="Arial" w:hAnsi="Arial" w:cs="Arial"/>
          <w:sz w:val="20"/>
        </w:rPr>
        <w:t xml:space="preserve"> </w:t>
      </w:r>
      <w:r w:rsidR="00237CA4" w:rsidRPr="00A644D8">
        <w:rPr>
          <w:rFonts w:ascii="Arial" w:hAnsi="Arial" w:cs="Arial"/>
          <w:sz w:val="20"/>
        </w:rPr>
        <w:t xml:space="preserve">to five years for </w:t>
      </w:r>
      <w:r w:rsidR="00515140" w:rsidRPr="00A644D8">
        <w:rPr>
          <w:rFonts w:ascii="Arial" w:hAnsi="Arial" w:cs="Arial"/>
          <w:sz w:val="20"/>
        </w:rPr>
        <w:t>LAEPs</w:t>
      </w:r>
      <w:r w:rsidR="00237CA4" w:rsidRPr="00A644D8">
        <w:rPr>
          <w:rFonts w:ascii="Arial" w:hAnsi="Arial" w:cs="Arial"/>
          <w:sz w:val="20"/>
        </w:rPr>
        <w:t xml:space="preserve"> on audi</w:t>
      </w:r>
      <w:r w:rsidR="00515140" w:rsidRPr="00A644D8">
        <w:rPr>
          <w:rFonts w:ascii="Arial" w:hAnsi="Arial" w:cs="Arial"/>
          <w:sz w:val="20"/>
        </w:rPr>
        <w:t>ts of PIEs</w:t>
      </w:r>
      <w:r w:rsidR="00237CA4" w:rsidRPr="00A644D8">
        <w:rPr>
          <w:rFonts w:ascii="Arial" w:hAnsi="Arial" w:cs="Arial"/>
          <w:sz w:val="20"/>
        </w:rPr>
        <w:t xml:space="preserve"> after any time served as LAEP, with a two-year cooling-off perio</w:t>
      </w:r>
      <w:r w:rsidR="00515140" w:rsidRPr="00A644D8">
        <w:rPr>
          <w:rFonts w:ascii="Arial" w:hAnsi="Arial" w:cs="Arial"/>
          <w:sz w:val="20"/>
        </w:rPr>
        <w:t>d for other KAPs</w:t>
      </w:r>
      <w:r w:rsidR="00237CA4" w:rsidRPr="00A644D8">
        <w:rPr>
          <w:rFonts w:ascii="Arial" w:hAnsi="Arial" w:cs="Arial"/>
          <w:sz w:val="20"/>
        </w:rPr>
        <w:t>.</w:t>
      </w:r>
      <w:r w:rsidR="008A5F3C" w:rsidRPr="00A644D8">
        <w:rPr>
          <w:rFonts w:ascii="Arial" w:hAnsi="Arial" w:cs="Arial"/>
          <w:sz w:val="20"/>
        </w:rPr>
        <w:t xml:space="preserve"> Participants</w:t>
      </w:r>
      <w:r w:rsidR="00811723" w:rsidRPr="00A644D8">
        <w:rPr>
          <w:rFonts w:ascii="Arial" w:hAnsi="Arial" w:cs="Arial"/>
          <w:sz w:val="20"/>
        </w:rPr>
        <w:t xml:space="preserve"> who express</w:t>
      </w:r>
      <w:r w:rsidR="00B22106" w:rsidRPr="00A644D8">
        <w:rPr>
          <w:rFonts w:ascii="Arial" w:hAnsi="Arial" w:cs="Arial"/>
          <w:sz w:val="20"/>
        </w:rPr>
        <w:t>ed a view were generally supportive of the increase in the cooling-off period for LAEPs to five years</w:t>
      </w:r>
      <w:r w:rsidR="00AD1487" w:rsidRPr="00A644D8">
        <w:rPr>
          <w:rFonts w:ascii="Arial" w:hAnsi="Arial" w:cs="Arial"/>
          <w:sz w:val="20"/>
        </w:rPr>
        <w:t xml:space="preserve"> on audits of PIEs</w:t>
      </w:r>
      <w:r w:rsidR="00A6168E">
        <w:rPr>
          <w:rFonts w:ascii="Arial" w:hAnsi="Arial" w:cs="Arial"/>
          <w:sz w:val="20"/>
        </w:rPr>
        <w:t>.</w:t>
      </w:r>
      <w:r w:rsidR="00C80EC6">
        <w:rPr>
          <w:rFonts w:ascii="Arial" w:hAnsi="Arial" w:cs="Arial"/>
          <w:sz w:val="20"/>
        </w:rPr>
        <w:t xml:space="preserve"> </w:t>
      </w:r>
      <w:r w:rsidR="00A6168E">
        <w:rPr>
          <w:rFonts w:ascii="Arial" w:hAnsi="Arial" w:cs="Arial"/>
          <w:sz w:val="20"/>
        </w:rPr>
        <w:t>H</w:t>
      </w:r>
      <w:r w:rsidR="00C80EC6">
        <w:rPr>
          <w:rFonts w:ascii="Arial" w:hAnsi="Arial" w:cs="Arial"/>
          <w:sz w:val="20"/>
        </w:rPr>
        <w:t>owever</w:t>
      </w:r>
      <w:r w:rsidR="00A6168E">
        <w:rPr>
          <w:rFonts w:ascii="Arial" w:hAnsi="Arial" w:cs="Arial"/>
          <w:sz w:val="20"/>
        </w:rPr>
        <w:t>,</w:t>
      </w:r>
      <w:r w:rsidR="00C80EC6">
        <w:rPr>
          <w:rFonts w:ascii="Arial" w:hAnsi="Arial" w:cs="Arial"/>
          <w:sz w:val="20"/>
        </w:rPr>
        <w:t xml:space="preserve"> </w:t>
      </w:r>
      <w:r w:rsidR="003D109E">
        <w:rPr>
          <w:rFonts w:ascii="Arial" w:hAnsi="Arial" w:cs="Arial"/>
          <w:sz w:val="20"/>
        </w:rPr>
        <w:t>participants</w:t>
      </w:r>
      <w:r w:rsidR="00C80EC6">
        <w:rPr>
          <w:rFonts w:ascii="Arial" w:hAnsi="Arial" w:cs="Arial"/>
          <w:sz w:val="20"/>
        </w:rPr>
        <w:t xml:space="preserve"> considered that it should</w:t>
      </w:r>
      <w:r w:rsidR="003B0AB6">
        <w:rPr>
          <w:rFonts w:ascii="Arial" w:hAnsi="Arial" w:cs="Arial"/>
          <w:sz w:val="20"/>
        </w:rPr>
        <w:t xml:space="preserve"> also</w:t>
      </w:r>
      <w:r w:rsidR="00C80EC6">
        <w:rPr>
          <w:rFonts w:ascii="Arial" w:hAnsi="Arial" w:cs="Arial"/>
          <w:sz w:val="20"/>
        </w:rPr>
        <w:t xml:space="preserve"> apply to </w:t>
      </w:r>
      <w:r w:rsidR="00391369">
        <w:rPr>
          <w:rFonts w:ascii="Arial" w:hAnsi="Arial" w:cs="Arial"/>
          <w:sz w:val="20"/>
        </w:rPr>
        <w:t>engagement quality control reviewers (</w:t>
      </w:r>
      <w:r w:rsidR="00C80EC6">
        <w:rPr>
          <w:rFonts w:ascii="Arial" w:hAnsi="Arial" w:cs="Arial"/>
          <w:sz w:val="20"/>
        </w:rPr>
        <w:t>EQCRs</w:t>
      </w:r>
      <w:r w:rsidR="00391369">
        <w:rPr>
          <w:rFonts w:ascii="Arial" w:hAnsi="Arial" w:cs="Arial"/>
          <w:sz w:val="20"/>
        </w:rPr>
        <w:t>)</w:t>
      </w:r>
      <w:r w:rsidR="00C80EC6">
        <w:rPr>
          <w:rFonts w:ascii="Arial" w:hAnsi="Arial" w:cs="Arial"/>
          <w:sz w:val="20"/>
        </w:rPr>
        <w:t xml:space="preserve"> in view of the importance of their role</w:t>
      </w:r>
      <w:r w:rsidR="00B22106" w:rsidRPr="00A644D8">
        <w:rPr>
          <w:rFonts w:ascii="Arial" w:hAnsi="Arial" w:cs="Arial"/>
          <w:sz w:val="20"/>
        </w:rPr>
        <w:t>.</w:t>
      </w:r>
      <w:r w:rsidR="00A644D8" w:rsidRPr="00CD6D43">
        <w:rPr>
          <w:rFonts w:ascii="Arial" w:hAnsi="Arial" w:cs="Arial"/>
          <w:sz w:val="20"/>
        </w:rPr>
        <w:t xml:space="preserve"> </w:t>
      </w:r>
      <w:r w:rsidR="0036427D">
        <w:rPr>
          <w:rFonts w:ascii="Arial" w:hAnsi="Arial" w:cs="Arial"/>
          <w:sz w:val="20"/>
        </w:rPr>
        <w:t>Several</w:t>
      </w:r>
      <w:r w:rsidR="00A644D8" w:rsidRPr="00A644D8">
        <w:rPr>
          <w:rFonts w:ascii="Arial" w:hAnsi="Arial" w:cs="Arial"/>
          <w:sz w:val="20"/>
        </w:rPr>
        <w:t xml:space="preserve"> participant</w:t>
      </w:r>
      <w:r w:rsidR="00A644D8">
        <w:rPr>
          <w:rFonts w:ascii="Arial" w:hAnsi="Arial" w:cs="Arial"/>
          <w:sz w:val="20"/>
        </w:rPr>
        <w:t>s</w:t>
      </w:r>
      <w:r w:rsidR="00A644D8" w:rsidRPr="00A644D8">
        <w:rPr>
          <w:rFonts w:ascii="Arial" w:hAnsi="Arial" w:cs="Arial"/>
          <w:sz w:val="20"/>
        </w:rPr>
        <w:t xml:space="preserve"> expressed the view that there should be adequate justification of the change to the five</w:t>
      </w:r>
      <w:r w:rsidR="00A6168E">
        <w:rPr>
          <w:rFonts w:ascii="Arial" w:hAnsi="Arial" w:cs="Arial"/>
          <w:sz w:val="20"/>
        </w:rPr>
        <w:t>-</w:t>
      </w:r>
      <w:r w:rsidR="00A644D8" w:rsidRPr="00A644D8">
        <w:rPr>
          <w:rFonts w:ascii="Arial" w:hAnsi="Arial" w:cs="Arial"/>
          <w:sz w:val="20"/>
        </w:rPr>
        <w:t xml:space="preserve"> year period because of the effect on firm resources</w:t>
      </w:r>
      <w:r w:rsidR="00AD1487" w:rsidRPr="00A644D8">
        <w:rPr>
          <w:rFonts w:ascii="Arial" w:hAnsi="Arial" w:cs="Arial"/>
          <w:sz w:val="20"/>
        </w:rPr>
        <w:t xml:space="preserve"> </w:t>
      </w:r>
    </w:p>
    <w:p w:rsidR="007E35EF" w:rsidRPr="007E35EF" w:rsidRDefault="007E35EF" w:rsidP="007E35EF">
      <w:pPr>
        <w:pStyle w:val="StyleLeft585pt"/>
        <w:spacing w:before="240" w:after="120"/>
        <w:ind w:left="0"/>
        <w:jc w:val="both"/>
        <w:rPr>
          <w:rFonts w:ascii="Arial" w:hAnsi="Arial" w:cs="Arial"/>
          <w:i/>
          <w:sz w:val="20"/>
        </w:rPr>
      </w:pPr>
      <w:r w:rsidRPr="007E35EF">
        <w:rPr>
          <w:rFonts w:ascii="Arial" w:hAnsi="Arial" w:cs="Arial"/>
          <w:i/>
          <w:sz w:val="20"/>
        </w:rPr>
        <w:t>TF Proposals</w:t>
      </w:r>
    </w:p>
    <w:p w:rsidR="00857007" w:rsidRDefault="00857007" w:rsidP="00FB6AF2">
      <w:pPr>
        <w:pStyle w:val="StyleLeft585pt"/>
        <w:numPr>
          <w:ilvl w:val="0"/>
          <w:numId w:val="7"/>
        </w:numPr>
        <w:spacing w:before="120" w:after="120"/>
        <w:ind w:left="547" w:hanging="547"/>
        <w:jc w:val="both"/>
        <w:rPr>
          <w:rFonts w:ascii="Arial" w:hAnsi="Arial" w:cs="Arial"/>
          <w:sz w:val="20"/>
        </w:rPr>
      </w:pPr>
      <w:r>
        <w:rPr>
          <w:rFonts w:ascii="Arial" w:hAnsi="Arial" w:cs="Arial"/>
          <w:sz w:val="20"/>
        </w:rPr>
        <w:t xml:space="preserve">With respect to the </w:t>
      </w:r>
      <w:r w:rsidR="00290B3F">
        <w:rPr>
          <w:rFonts w:ascii="Arial" w:hAnsi="Arial" w:cs="Arial"/>
          <w:sz w:val="20"/>
        </w:rPr>
        <w:t xml:space="preserve">comments </w:t>
      </w:r>
      <w:r>
        <w:rPr>
          <w:rFonts w:ascii="Arial" w:hAnsi="Arial" w:cs="Arial"/>
          <w:sz w:val="20"/>
        </w:rPr>
        <w:t xml:space="preserve">regarding </w:t>
      </w:r>
      <w:r w:rsidR="00290B3F">
        <w:rPr>
          <w:rFonts w:ascii="Arial" w:hAnsi="Arial" w:cs="Arial"/>
          <w:sz w:val="20"/>
        </w:rPr>
        <w:t>applying the same five</w:t>
      </w:r>
      <w:r w:rsidR="00A6168E">
        <w:rPr>
          <w:rFonts w:ascii="Arial" w:hAnsi="Arial" w:cs="Arial"/>
          <w:sz w:val="20"/>
        </w:rPr>
        <w:t>-</w:t>
      </w:r>
      <w:r w:rsidR="00290B3F">
        <w:rPr>
          <w:rFonts w:ascii="Arial" w:hAnsi="Arial" w:cs="Arial"/>
          <w:sz w:val="20"/>
        </w:rPr>
        <w:t>year cooling</w:t>
      </w:r>
      <w:r w:rsidR="00A6168E">
        <w:rPr>
          <w:rFonts w:ascii="Arial" w:hAnsi="Arial" w:cs="Arial"/>
          <w:sz w:val="20"/>
        </w:rPr>
        <w:t>-</w:t>
      </w:r>
      <w:r w:rsidR="00290B3F">
        <w:rPr>
          <w:rFonts w:ascii="Arial" w:hAnsi="Arial" w:cs="Arial"/>
          <w:sz w:val="20"/>
        </w:rPr>
        <w:t xml:space="preserve">off period </w:t>
      </w:r>
      <w:r>
        <w:rPr>
          <w:rFonts w:ascii="Arial" w:hAnsi="Arial" w:cs="Arial"/>
          <w:sz w:val="20"/>
        </w:rPr>
        <w:t xml:space="preserve">to the EQCR, </w:t>
      </w:r>
      <w:r w:rsidR="007E35EF">
        <w:rPr>
          <w:rFonts w:ascii="Arial" w:hAnsi="Arial" w:cs="Arial"/>
          <w:sz w:val="20"/>
        </w:rPr>
        <w:t xml:space="preserve">the TF </w:t>
      </w:r>
      <w:r>
        <w:rPr>
          <w:rFonts w:ascii="Arial" w:hAnsi="Arial" w:cs="Arial"/>
          <w:sz w:val="20"/>
        </w:rPr>
        <w:t xml:space="preserve">noted that </w:t>
      </w:r>
      <w:r w:rsidR="007E35EF">
        <w:rPr>
          <w:rFonts w:ascii="Arial" w:hAnsi="Arial" w:cs="Arial"/>
          <w:sz w:val="20"/>
        </w:rPr>
        <w:t xml:space="preserve">it </w:t>
      </w:r>
      <w:r>
        <w:rPr>
          <w:rFonts w:ascii="Arial" w:hAnsi="Arial" w:cs="Arial"/>
          <w:sz w:val="20"/>
        </w:rPr>
        <w:t xml:space="preserve">and the Board </w:t>
      </w:r>
      <w:r w:rsidR="00EE61A5">
        <w:rPr>
          <w:rFonts w:ascii="Arial" w:hAnsi="Arial" w:cs="Arial"/>
          <w:sz w:val="20"/>
        </w:rPr>
        <w:t xml:space="preserve">have </w:t>
      </w:r>
      <w:r>
        <w:rPr>
          <w:rFonts w:ascii="Arial" w:hAnsi="Arial" w:cs="Arial"/>
          <w:sz w:val="20"/>
        </w:rPr>
        <w:t>considered this matter</w:t>
      </w:r>
      <w:r w:rsidR="00CD6D43">
        <w:rPr>
          <w:rFonts w:ascii="Arial" w:hAnsi="Arial" w:cs="Arial"/>
          <w:sz w:val="20"/>
        </w:rPr>
        <w:t xml:space="preserve"> previously</w:t>
      </w:r>
      <w:r w:rsidR="00290B3F">
        <w:rPr>
          <w:rFonts w:ascii="Arial" w:hAnsi="Arial" w:cs="Arial"/>
          <w:sz w:val="20"/>
        </w:rPr>
        <w:t>.</w:t>
      </w:r>
      <w:r>
        <w:rPr>
          <w:rFonts w:ascii="Arial" w:hAnsi="Arial" w:cs="Arial"/>
          <w:sz w:val="20"/>
        </w:rPr>
        <w:t xml:space="preserve">  The majority of the Board recommended leaving the cooling-off period for other KAPs</w:t>
      </w:r>
      <w:r w:rsidR="007E35EF">
        <w:rPr>
          <w:rFonts w:ascii="Arial" w:hAnsi="Arial" w:cs="Arial"/>
          <w:sz w:val="20"/>
        </w:rPr>
        <w:t>,</w:t>
      </w:r>
      <w:r w:rsidR="00290B3F">
        <w:rPr>
          <w:rFonts w:ascii="Arial" w:hAnsi="Arial" w:cs="Arial"/>
          <w:sz w:val="20"/>
        </w:rPr>
        <w:t xml:space="preserve"> including the EQCR</w:t>
      </w:r>
      <w:r w:rsidR="007E35EF">
        <w:rPr>
          <w:rFonts w:ascii="Arial" w:hAnsi="Arial" w:cs="Arial"/>
          <w:sz w:val="20"/>
        </w:rPr>
        <w:t>,</w:t>
      </w:r>
      <w:r>
        <w:rPr>
          <w:rFonts w:ascii="Arial" w:hAnsi="Arial" w:cs="Arial"/>
          <w:sz w:val="20"/>
        </w:rPr>
        <w:t xml:space="preserve"> at the current two years</w:t>
      </w:r>
      <w:r w:rsidR="00290B3F">
        <w:rPr>
          <w:rFonts w:ascii="Arial" w:hAnsi="Arial" w:cs="Arial"/>
          <w:sz w:val="20"/>
        </w:rPr>
        <w:t>. Th</w:t>
      </w:r>
      <w:r w:rsidR="00CD6D43">
        <w:rPr>
          <w:rFonts w:ascii="Arial" w:hAnsi="Arial" w:cs="Arial"/>
          <w:sz w:val="20"/>
        </w:rPr>
        <w:t>is was based on the view that the</w:t>
      </w:r>
      <w:r w:rsidR="00290B3F">
        <w:rPr>
          <w:rFonts w:ascii="Arial" w:hAnsi="Arial" w:cs="Arial"/>
          <w:sz w:val="20"/>
        </w:rPr>
        <w:t xml:space="preserve"> LAEP and the EQCR are </w:t>
      </w:r>
      <w:r>
        <w:rPr>
          <w:rFonts w:ascii="Arial" w:hAnsi="Arial" w:cs="Arial"/>
          <w:sz w:val="20"/>
        </w:rPr>
        <w:t>distinctly different roles, the LAEP having much more familiarity with the client than the EQCR who provides an objective evaluation of the significant judgments the engagement team has made and the conclusions it reached on formulating the audit report.</w:t>
      </w:r>
    </w:p>
    <w:tbl>
      <w:tblPr>
        <w:tblStyle w:val="TableGrid"/>
        <w:tblW w:w="9747" w:type="dxa"/>
        <w:tblLook w:val="04A0" w:firstRow="1" w:lastRow="0" w:firstColumn="1" w:lastColumn="0" w:noHBand="0" w:noVBand="1"/>
      </w:tblPr>
      <w:tblGrid>
        <w:gridCol w:w="9747"/>
      </w:tblGrid>
      <w:tr w:rsidR="00FF193F" w:rsidRPr="00586E55" w:rsidTr="00886B21">
        <w:tc>
          <w:tcPr>
            <w:tcW w:w="9747" w:type="dxa"/>
          </w:tcPr>
          <w:p w:rsidR="00FF193F" w:rsidRPr="00586E55" w:rsidRDefault="00FF193F" w:rsidP="009342DC">
            <w:pPr>
              <w:pStyle w:val="Default"/>
              <w:spacing w:before="120" w:after="120" w:line="280" w:lineRule="exact"/>
              <w:jc w:val="both"/>
              <w:rPr>
                <w:color w:val="auto"/>
                <w:sz w:val="20"/>
                <w:szCs w:val="20"/>
              </w:rPr>
            </w:pPr>
            <w:r w:rsidRPr="00586E55">
              <w:rPr>
                <w:b/>
                <w:bCs/>
                <w:color w:val="auto"/>
                <w:sz w:val="20"/>
                <w:szCs w:val="20"/>
              </w:rPr>
              <w:t xml:space="preserve">Matter for </w:t>
            </w:r>
            <w:r>
              <w:rPr>
                <w:b/>
                <w:bCs/>
                <w:color w:val="auto"/>
                <w:sz w:val="20"/>
                <w:szCs w:val="20"/>
              </w:rPr>
              <w:t>Consideration</w:t>
            </w:r>
            <w:r w:rsidRPr="00586E55">
              <w:rPr>
                <w:b/>
                <w:bCs/>
                <w:color w:val="auto"/>
                <w:sz w:val="20"/>
                <w:szCs w:val="20"/>
              </w:rPr>
              <w:t xml:space="preserve"> </w:t>
            </w:r>
          </w:p>
          <w:p w:rsidR="0057337E" w:rsidRPr="001A4E2E" w:rsidRDefault="00641D62" w:rsidP="007E35EF">
            <w:pPr>
              <w:pStyle w:val="Indent"/>
              <w:widowControl w:val="0"/>
              <w:numPr>
                <w:ilvl w:val="0"/>
                <w:numId w:val="3"/>
              </w:numPr>
              <w:tabs>
                <w:tab w:val="clear" w:pos="960"/>
              </w:tabs>
              <w:spacing w:before="120" w:after="120"/>
              <w:ind w:left="540" w:hanging="540"/>
              <w:rPr>
                <w:rFonts w:ascii="Arial" w:hAnsi="Arial" w:cs="Arial"/>
                <w:sz w:val="20"/>
                <w:szCs w:val="20"/>
              </w:rPr>
            </w:pPr>
            <w:r>
              <w:rPr>
                <w:rFonts w:ascii="Arial" w:hAnsi="Arial" w:cs="Arial"/>
                <w:sz w:val="20"/>
                <w:szCs w:val="20"/>
              </w:rPr>
              <w:t xml:space="preserve">Do CAG </w:t>
            </w:r>
            <w:r w:rsidR="007E35EF">
              <w:rPr>
                <w:rFonts w:ascii="Arial" w:hAnsi="Arial" w:cs="Arial"/>
                <w:sz w:val="20"/>
                <w:szCs w:val="20"/>
              </w:rPr>
              <w:t>R</w:t>
            </w:r>
            <w:r>
              <w:rPr>
                <w:rFonts w:ascii="Arial" w:hAnsi="Arial" w:cs="Arial"/>
                <w:sz w:val="20"/>
                <w:szCs w:val="20"/>
              </w:rPr>
              <w:t>epresentatives support</w:t>
            </w:r>
            <w:r w:rsidR="00857007">
              <w:rPr>
                <w:rFonts w:ascii="Arial" w:hAnsi="Arial" w:cs="Arial"/>
                <w:sz w:val="20"/>
                <w:szCs w:val="20"/>
              </w:rPr>
              <w:t xml:space="preserve"> the TF proposal with respect to the </w:t>
            </w:r>
            <w:r w:rsidR="00EE61A5">
              <w:rPr>
                <w:rFonts w:ascii="Arial" w:hAnsi="Arial" w:cs="Arial"/>
                <w:sz w:val="20"/>
                <w:szCs w:val="20"/>
              </w:rPr>
              <w:t>five</w:t>
            </w:r>
            <w:r w:rsidR="00EE4D43">
              <w:rPr>
                <w:rFonts w:ascii="Arial" w:hAnsi="Arial" w:cs="Arial"/>
                <w:sz w:val="20"/>
                <w:szCs w:val="20"/>
              </w:rPr>
              <w:t>-</w:t>
            </w:r>
            <w:r w:rsidR="00EE61A5">
              <w:rPr>
                <w:rFonts w:ascii="Arial" w:hAnsi="Arial" w:cs="Arial"/>
                <w:sz w:val="20"/>
                <w:szCs w:val="20"/>
              </w:rPr>
              <w:t xml:space="preserve">year </w:t>
            </w:r>
            <w:r w:rsidR="00857007">
              <w:rPr>
                <w:rFonts w:ascii="Arial" w:hAnsi="Arial" w:cs="Arial"/>
                <w:sz w:val="20"/>
                <w:szCs w:val="20"/>
              </w:rPr>
              <w:t xml:space="preserve">cooling-off period </w:t>
            </w:r>
            <w:r w:rsidR="00EE61A5">
              <w:rPr>
                <w:rFonts w:ascii="Arial" w:hAnsi="Arial" w:cs="Arial"/>
                <w:sz w:val="20"/>
                <w:szCs w:val="20"/>
              </w:rPr>
              <w:t xml:space="preserve">applying only to the LAEPs on </w:t>
            </w:r>
            <w:r w:rsidR="00290B3F">
              <w:rPr>
                <w:rFonts w:ascii="Arial" w:hAnsi="Arial" w:cs="Arial"/>
                <w:sz w:val="20"/>
                <w:szCs w:val="20"/>
              </w:rPr>
              <w:t xml:space="preserve">the </w:t>
            </w:r>
            <w:r w:rsidR="00EE61A5">
              <w:rPr>
                <w:rFonts w:ascii="Arial" w:hAnsi="Arial" w:cs="Arial"/>
                <w:sz w:val="20"/>
                <w:szCs w:val="20"/>
              </w:rPr>
              <w:t>audits of all PIEs?</w:t>
            </w:r>
            <w:r>
              <w:rPr>
                <w:rFonts w:ascii="Arial" w:hAnsi="Arial" w:cs="Arial"/>
                <w:sz w:val="20"/>
                <w:szCs w:val="20"/>
              </w:rPr>
              <w:t xml:space="preserve"> </w:t>
            </w:r>
          </w:p>
        </w:tc>
      </w:tr>
    </w:tbl>
    <w:p w:rsidR="00886B21" w:rsidRDefault="008600EA" w:rsidP="005568CD">
      <w:pPr>
        <w:pStyle w:val="ListParagraph"/>
        <w:keepNext/>
        <w:numPr>
          <w:ilvl w:val="0"/>
          <w:numId w:val="30"/>
        </w:numPr>
        <w:spacing w:before="240" w:after="120" w:line="280" w:lineRule="exact"/>
        <w:ind w:left="0" w:hanging="547"/>
        <w:contextualSpacing w:val="0"/>
        <w:jc w:val="both"/>
        <w:rPr>
          <w:rFonts w:ascii="Arial" w:hAnsi="Arial" w:cs="Arial"/>
          <w:smallCaps/>
          <w:sz w:val="20"/>
          <w:szCs w:val="20"/>
        </w:rPr>
      </w:pPr>
      <w:r w:rsidRPr="00493FDB">
        <w:rPr>
          <w:rFonts w:ascii="Arial" w:hAnsi="Arial" w:cs="Arial"/>
          <w:smallCaps/>
          <w:sz w:val="20"/>
          <w:szCs w:val="20"/>
        </w:rPr>
        <w:t>Permissible Activities During The Cooling</w:t>
      </w:r>
      <w:r w:rsidR="0076336A">
        <w:rPr>
          <w:rFonts w:ascii="Arial" w:hAnsi="Arial" w:cs="Arial"/>
          <w:smallCaps/>
          <w:sz w:val="20"/>
          <w:szCs w:val="20"/>
        </w:rPr>
        <w:t>-</w:t>
      </w:r>
      <w:r w:rsidRPr="00493FDB">
        <w:rPr>
          <w:rFonts w:ascii="Arial" w:hAnsi="Arial" w:cs="Arial"/>
          <w:smallCaps/>
          <w:sz w:val="20"/>
          <w:szCs w:val="20"/>
        </w:rPr>
        <w:t>Off Period</w:t>
      </w:r>
      <w:r w:rsidR="00493FDB" w:rsidRPr="00493FDB">
        <w:rPr>
          <w:rFonts w:ascii="Arial" w:hAnsi="Arial" w:cs="Arial"/>
          <w:smallCaps/>
          <w:sz w:val="20"/>
          <w:szCs w:val="20"/>
        </w:rPr>
        <w:t xml:space="preserve"> </w:t>
      </w:r>
    </w:p>
    <w:p w:rsidR="005568CD" w:rsidRPr="00493FDB" w:rsidRDefault="005568CD" w:rsidP="007E35EF">
      <w:pPr>
        <w:pStyle w:val="ListParagraph"/>
        <w:keepNext/>
        <w:spacing w:before="120" w:after="120" w:line="280" w:lineRule="exact"/>
        <w:ind w:left="0"/>
        <w:contextualSpacing w:val="0"/>
        <w:jc w:val="both"/>
        <w:rPr>
          <w:rFonts w:ascii="Arial" w:hAnsi="Arial" w:cs="Arial"/>
          <w:i/>
          <w:sz w:val="20"/>
        </w:rPr>
      </w:pPr>
      <w:r w:rsidRPr="00493FDB">
        <w:rPr>
          <w:rFonts w:ascii="Arial" w:hAnsi="Arial" w:cs="Arial"/>
          <w:i/>
          <w:sz w:val="20"/>
        </w:rPr>
        <w:t>CAG Representatives’ Comments</w:t>
      </w:r>
    </w:p>
    <w:p w:rsidR="005568CD" w:rsidRDefault="005568CD" w:rsidP="005568CD">
      <w:pPr>
        <w:pStyle w:val="StyleLeft585pt"/>
        <w:numPr>
          <w:ilvl w:val="0"/>
          <w:numId w:val="7"/>
        </w:numPr>
        <w:spacing w:before="120"/>
        <w:ind w:hanging="540"/>
        <w:jc w:val="both"/>
        <w:rPr>
          <w:rFonts w:ascii="Arial" w:hAnsi="Arial" w:cs="Arial"/>
          <w:sz w:val="20"/>
        </w:rPr>
      </w:pPr>
      <w:r>
        <w:rPr>
          <w:rFonts w:ascii="Arial" w:hAnsi="Arial" w:cs="Arial"/>
          <w:sz w:val="20"/>
        </w:rPr>
        <w:t xml:space="preserve">Representatives who expressed an opinion agreed that a rotated partner should not be able to directly influence the outcome of the audit. However, doubts were raised as to whether a requirement for absolutely no interaction was a practical option. The following situations where interaction with the rotated partner could possibly be necessary to maintain audit quality or </w:t>
      </w:r>
      <w:r w:rsidR="007E35EF">
        <w:rPr>
          <w:rFonts w:ascii="Arial" w:hAnsi="Arial" w:cs="Arial"/>
          <w:sz w:val="20"/>
        </w:rPr>
        <w:t xml:space="preserve">was </w:t>
      </w:r>
      <w:r>
        <w:rPr>
          <w:rFonts w:ascii="Arial" w:hAnsi="Arial" w:cs="Arial"/>
          <w:sz w:val="20"/>
        </w:rPr>
        <w:t>unavoidable were noted:</w:t>
      </w:r>
    </w:p>
    <w:p w:rsidR="005568CD" w:rsidRDefault="005568CD" w:rsidP="005568CD">
      <w:pPr>
        <w:numPr>
          <w:ilvl w:val="0"/>
          <w:numId w:val="35"/>
        </w:numPr>
        <w:spacing w:before="120" w:after="120" w:line="280" w:lineRule="exact"/>
        <w:ind w:left="1080" w:hanging="540"/>
        <w:jc w:val="both"/>
        <w:rPr>
          <w:rFonts w:ascii="Arial" w:hAnsi="Arial" w:cs="Arial"/>
          <w:sz w:val="20"/>
          <w:szCs w:val="20"/>
        </w:rPr>
      </w:pPr>
      <w:r>
        <w:rPr>
          <w:rFonts w:ascii="Arial" w:hAnsi="Arial" w:cs="Arial"/>
          <w:sz w:val="20"/>
          <w:szCs w:val="20"/>
        </w:rPr>
        <w:t>Social interactions between the rotated partner and the audit team or the audit client.</w:t>
      </w:r>
    </w:p>
    <w:p w:rsidR="005568CD" w:rsidRDefault="005568CD" w:rsidP="005568CD">
      <w:pPr>
        <w:numPr>
          <w:ilvl w:val="0"/>
          <w:numId w:val="35"/>
        </w:numPr>
        <w:spacing w:before="120" w:after="120" w:line="280" w:lineRule="exact"/>
        <w:ind w:left="1080" w:hanging="540"/>
        <w:jc w:val="both"/>
        <w:rPr>
          <w:rFonts w:ascii="Arial" w:hAnsi="Arial" w:cs="Arial"/>
          <w:sz w:val="20"/>
          <w:szCs w:val="20"/>
        </w:rPr>
      </w:pPr>
      <w:r>
        <w:rPr>
          <w:rFonts w:ascii="Arial" w:hAnsi="Arial" w:cs="Arial"/>
          <w:sz w:val="20"/>
          <w:szCs w:val="20"/>
        </w:rPr>
        <w:t>When the incoming partner needs to discuss issues from the previous year’s audit with the rotated partner.</w:t>
      </w:r>
    </w:p>
    <w:p w:rsidR="005568CD" w:rsidRDefault="005568CD" w:rsidP="005568CD">
      <w:pPr>
        <w:numPr>
          <w:ilvl w:val="0"/>
          <w:numId w:val="35"/>
        </w:numPr>
        <w:spacing w:before="120" w:after="120" w:line="280" w:lineRule="exact"/>
        <w:ind w:left="1080" w:hanging="540"/>
        <w:jc w:val="both"/>
        <w:rPr>
          <w:rFonts w:ascii="Arial" w:hAnsi="Arial" w:cs="Arial"/>
          <w:sz w:val="20"/>
          <w:szCs w:val="20"/>
        </w:rPr>
      </w:pPr>
      <w:r>
        <w:rPr>
          <w:rFonts w:ascii="Arial" w:hAnsi="Arial" w:cs="Arial"/>
          <w:sz w:val="20"/>
          <w:szCs w:val="20"/>
        </w:rPr>
        <w:t>When the rotated partner takes the role of managing partner of the audit firm during the cooling-off period.</w:t>
      </w:r>
    </w:p>
    <w:p w:rsidR="005568CD" w:rsidRDefault="005568CD" w:rsidP="005568CD">
      <w:pPr>
        <w:numPr>
          <w:ilvl w:val="0"/>
          <w:numId w:val="35"/>
        </w:numPr>
        <w:spacing w:before="120" w:after="120" w:line="280" w:lineRule="exact"/>
        <w:ind w:left="1080" w:hanging="540"/>
        <w:jc w:val="both"/>
        <w:rPr>
          <w:rFonts w:ascii="Arial" w:hAnsi="Arial" w:cs="Arial"/>
          <w:sz w:val="20"/>
          <w:szCs w:val="20"/>
        </w:rPr>
      </w:pPr>
      <w:r>
        <w:rPr>
          <w:rFonts w:ascii="Arial" w:hAnsi="Arial" w:cs="Arial"/>
          <w:sz w:val="20"/>
          <w:szCs w:val="20"/>
        </w:rPr>
        <w:t>In smaller firms, where limitations on resources could result in the need to consult the rotated partner, notably on specialist issues.</w:t>
      </w:r>
    </w:p>
    <w:p w:rsidR="005568CD" w:rsidRDefault="005568CD" w:rsidP="005568CD">
      <w:pPr>
        <w:spacing w:before="120" w:after="120" w:line="280" w:lineRule="exact"/>
        <w:ind w:left="540"/>
        <w:jc w:val="both"/>
        <w:rPr>
          <w:rFonts w:ascii="Arial" w:hAnsi="Arial" w:cs="Arial"/>
          <w:sz w:val="20"/>
          <w:szCs w:val="20"/>
        </w:rPr>
      </w:pPr>
      <w:r>
        <w:rPr>
          <w:rFonts w:ascii="Arial" w:hAnsi="Arial" w:cs="Arial"/>
          <w:sz w:val="20"/>
          <w:szCs w:val="20"/>
        </w:rPr>
        <w:t>It was noted by the TF chair that the TF’s proposals were not intended to prohibit all interaction</w:t>
      </w:r>
      <w:r w:rsidR="007E35EF">
        <w:rPr>
          <w:rFonts w:ascii="Arial" w:hAnsi="Arial" w:cs="Arial"/>
          <w:sz w:val="20"/>
          <w:szCs w:val="20"/>
        </w:rPr>
        <w:t>s.</w:t>
      </w:r>
      <w:r>
        <w:rPr>
          <w:rFonts w:ascii="Arial" w:hAnsi="Arial" w:cs="Arial"/>
          <w:sz w:val="20"/>
          <w:szCs w:val="20"/>
        </w:rPr>
        <w:t xml:space="preserve"> </w:t>
      </w:r>
      <w:r w:rsidR="007E35EF">
        <w:rPr>
          <w:rFonts w:ascii="Arial" w:hAnsi="Arial" w:cs="Arial"/>
          <w:sz w:val="20"/>
          <w:szCs w:val="20"/>
        </w:rPr>
        <w:t>I</w:t>
      </w:r>
      <w:r>
        <w:rPr>
          <w:rFonts w:ascii="Arial" w:hAnsi="Arial" w:cs="Arial"/>
          <w:sz w:val="20"/>
          <w:szCs w:val="20"/>
        </w:rPr>
        <w:t>ndeed</w:t>
      </w:r>
      <w:r w:rsidR="007E35EF">
        <w:rPr>
          <w:rFonts w:ascii="Arial" w:hAnsi="Arial" w:cs="Arial"/>
          <w:sz w:val="20"/>
          <w:szCs w:val="20"/>
        </w:rPr>
        <w:t>, these proposals</w:t>
      </w:r>
      <w:r>
        <w:rPr>
          <w:rFonts w:ascii="Arial" w:hAnsi="Arial" w:cs="Arial"/>
          <w:sz w:val="20"/>
          <w:szCs w:val="20"/>
        </w:rPr>
        <w:t xml:space="preserve"> allowed for the range of circumstances mentioned. </w:t>
      </w:r>
    </w:p>
    <w:p w:rsidR="005568CD" w:rsidRDefault="005568CD" w:rsidP="005568CD">
      <w:pPr>
        <w:pStyle w:val="StyleLeft585pt"/>
        <w:numPr>
          <w:ilvl w:val="0"/>
          <w:numId w:val="7"/>
        </w:numPr>
        <w:spacing w:before="120"/>
        <w:ind w:hanging="540"/>
        <w:jc w:val="both"/>
        <w:rPr>
          <w:rFonts w:ascii="Arial" w:hAnsi="Arial" w:cs="Arial"/>
          <w:sz w:val="20"/>
        </w:rPr>
      </w:pPr>
      <w:r w:rsidRPr="00A349AB">
        <w:rPr>
          <w:rFonts w:ascii="Arial" w:hAnsi="Arial" w:cs="Arial"/>
          <w:sz w:val="20"/>
        </w:rPr>
        <w:t xml:space="preserve">A Representative </w:t>
      </w:r>
      <w:r>
        <w:rPr>
          <w:rFonts w:ascii="Arial" w:hAnsi="Arial" w:cs="Arial"/>
          <w:sz w:val="20"/>
        </w:rPr>
        <w:t>questioned whether the meaning of</w:t>
      </w:r>
      <w:r w:rsidR="00493FDB">
        <w:rPr>
          <w:rFonts w:ascii="Arial" w:hAnsi="Arial" w:cs="Arial"/>
          <w:sz w:val="20"/>
        </w:rPr>
        <w:t xml:space="preserve"> “</w:t>
      </w:r>
      <w:r w:rsidRPr="00A349AB">
        <w:rPr>
          <w:rFonts w:ascii="Arial" w:hAnsi="Arial" w:cs="Arial"/>
          <w:sz w:val="20"/>
        </w:rPr>
        <w:t>limited</w:t>
      </w:r>
      <w:r>
        <w:rPr>
          <w:rFonts w:ascii="Arial" w:hAnsi="Arial" w:cs="Arial"/>
          <w:sz w:val="20"/>
        </w:rPr>
        <w:t>” was clear in “limited discussions with the engagement team,”</w:t>
      </w:r>
      <w:r w:rsidRPr="00A349AB">
        <w:rPr>
          <w:rFonts w:ascii="Arial" w:hAnsi="Arial" w:cs="Arial"/>
          <w:sz w:val="20"/>
        </w:rPr>
        <w:t xml:space="preserve"> and</w:t>
      </w:r>
      <w:r w:rsidR="00493FDB">
        <w:rPr>
          <w:rFonts w:ascii="Arial" w:hAnsi="Arial" w:cs="Arial"/>
          <w:sz w:val="20"/>
        </w:rPr>
        <w:t xml:space="preserve"> “</w:t>
      </w:r>
      <w:r w:rsidRPr="00A349AB">
        <w:rPr>
          <w:rFonts w:ascii="Arial" w:hAnsi="Arial" w:cs="Arial"/>
          <w:sz w:val="20"/>
        </w:rPr>
        <w:t>directly</w:t>
      </w:r>
      <w:r>
        <w:rPr>
          <w:rFonts w:ascii="Arial" w:hAnsi="Arial" w:cs="Arial"/>
          <w:sz w:val="20"/>
        </w:rPr>
        <w:t>”</w:t>
      </w:r>
      <w:r w:rsidRPr="00A349AB">
        <w:rPr>
          <w:rFonts w:ascii="Arial" w:hAnsi="Arial" w:cs="Arial"/>
          <w:sz w:val="20"/>
        </w:rPr>
        <w:t xml:space="preserve"> as related to “directly influence the audit engagement</w:t>
      </w:r>
      <w:r>
        <w:rPr>
          <w:rFonts w:ascii="Arial" w:hAnsi="Arial" w:cs="Arial"/>
          <w:sz w:val="20"/>
        </w:rPr>
        <w:t>.</w:t>
      </w:r>
      <w:r w:rsidRPr="00A349AB">
        <w:rPr>
          <w:rFonts w:ascii="Arial" w:hAnsi="Arial" w:cs="Arial"/>
          <w:sz w:val="20"/>
        </w:rPr>
        <w:t>”</w:t>
      </w:r>
      <w:r>
        <w:rPr>
          <w:rFonts w:ascii="Arial" w:hAnsi="Arial" w:cs="Arial"/>
          <w:sz w:val="20"/>
        </w:rPr>
        <w:t xml:space="preserve"> The TF notes that the draft provisions have been clarified as a response to the first comment</w:t>
      </w:r>
      <w:r w:rsidR="00074A17">
        <w:rPr>
          <w:rFonts w:ascii="Arial" w:hAnsi="Arial" w:cs="Arial"/>
          <w:sz w:val="20"/>
        </w:rPr>
        <w:t xml:space="preserve">. While </w:t>
      </w:r>
      <w:r>
        <w:rPr>
          <w:rFonts w:ascii="Arial" w:hAnsi="Arial" w:cs="Arial"/>
          <w:sz w:val="20"/>
        </w:rPr>
        <w:t>“directly influence the audit engagement” has been taken verbatim from the definition of “audit team” in the Code</w:t>
      </w:r>
      <w:r w:rsidR="00074A17">
        <w:rPr>
          <w:rFonts w:ascii="Arial" w:hAnsi="Arial" w:cs="Arial"/>
          <w:sz w:val="20"/>
        </w:rPr>
        <w:t>, the draft provisions have been clarified to refer to “exerting influence on the outcome of the audit engagement</w:t>
      </w:r>
      <w:r w:rsidR="007E35EF">
        <w:rPr>
          <w:rFonts w:ascii="Arial" w:hAnsi="Arial" w:cs="Arial"/>
          <w:sz w:val="20"/>
        </w:rPr>
        <w:t>.</w:t>
      </w:r>
      <w:r w:rsidR="00074A17">
        <w:rPr>
          <w:rFonts w:ascii="Arial" w:hAnsi="Arial" w:cs="Arial"/>
          <w:sz w:val="20"/>
        </w:rPr>
        <w:t>”</w:t>
      </w:r>
      <w:r>
        <w:rPr>
          <w:rFonts w:ascii="Arial" w:hAnsi="Arial" w:cs="Arial"/>
          <w:sz w:val="20"/>
        </w:rPr>
        <w:t xml:space="preserve"> </w:t>
      </w:r>
    </w:p>
    <w:p w:rsidR="005568CD" w:rsidRPr="007C092B" w:rsidRDefault="005568CD" w:rsidP="005568CD">
      <w:pPr>
        <w:pStyle w:val="StyleLeft585pt"/>
        <w:numPr>
          <w:ilvl w:val="0"/>
          <w:numId w:val="7"/>
        </w:numPr>
        <w:spacing w:before="120" w:after="120"/>
        <w:ind w:left="547" w:hanging="547"/>
        <w:jc w:val="both"/>
        <w:rPr>
          <w:rFonts w:ascii="Arial" w:hAnsi="Arial" w:cs="Arial"/>
          <w:sz w:val="20"/>
        </w:rPr>
      </w:pPr>
      <w:r>
        <w:rPr>
          <w:rFonts w:ascii="Arial" w:hAnsi="Arial" w:cs="Arial"/>
          <w:sz w:val="20"/>
        </w:rPr>
        <w:t>In addition, a Representative expressed a view that should a LAEP be required to serve a five</w:t>
      </w:r>
      <w:r w:rsidR="00EE4D43">
        <w:rPr>
          <w:rFonts w:ascii="Arial" w:hAnsi="Arial" w:cs="Arial"/>
          <w:sz w:val="20"/>
        </w:rPr>
        <w:t>-</w:t>
      </w:r>
      <w:r>
        <w:rPr>
          <w:rFonts w:ascii="Arial" w:hAnsi="Arial" w:cs="Arial"/>
          <w:sz w:val="20"/>
        </w:rPr>
        <w:t>year rotation period</w:t>
      </w:r>
      <w:r w:rsidR="007E35EF">
        <w:rPr>
          <w:rFonts w:ascii="Arial" w:hAnsi="Arial" w:cs="Arial"/>
          <w:sz w:val="20"/>
        </w:rPr>
        <w:t>,</w:t>
      </w:r>
      <w:r>
        <w:rPr>
          <w:rFonts w:ascii="Arial" w:hAnsi="Arial" w:cs="Arial"/>
          <w:sz w:val="20"/>
        </w:rPr>
        <w:t xml:space="preserve"> there should not be a relaxation on permissible activities part way through the coo</w:t>
      </w:r>
      <w:r w:rsidR="0074156E">
        <w:rPr>
          <w:rFonts w:ascii="Arial" w:hAnsi="Arial" w:cs="Arial"/>
          <w:sz w:val="20"/>
        </w:rPr>
        <w:t>ling-off. The Representative</w:t>
      </w:r>
      <w:r>
        <w:rPr>
          <w:rFonts w:ascii="Arial" w:hAnsi="Arial" w:cs="Arial"/>
          <w:sz w:val="20"/>
        </w:rPr>
        <w:t xml:space="preserve"> </w:t>
      </w:r>
      <w:r w:rsidR="007E35EF">
        <w:rPr>
          <w:rFonts w:ascii="Arial" w:hAnsi="Arial" w:cs="Arial"/>
          <w:sz w:val="20"/>
        </w:rPr>
        <w:t xml:space="preserve">was of </w:t>
      </w:r>
      <w:r>
        <w:rPr>
          <w:rFonts w:ascii="Arial" w:hAnsi="Arial" w:cs="Arial"/>
          <w:sz w:val="20"/>
        </w:rPr>
        <w:t>the view that if an activity was deemed not permissible during the initial part of the cooling-off</w:t>
      </w:r>
      <w:r w:rsidR="007E35EF">
        <w:rPr>
          <w:rFonts w:ascii="Arial" w:hAnsi="Arial" w:cs="Arial"/>
          <w:sz w:val="20"/>
        </w:rPr>
        <w:t>,</w:t>
      </w:r>
      <w:r>
        <w:rPr>
          <w:rFonts w:ascii="Arial" w:hAnsi="Arial" w:cs="Arial"/>
          <w:sz w:val="20"/>
        </w:rPr>
        <w:t xml:space="preserve"> it would appear counter</w:t>
      </w:r>
      <w:r w:rsidR="00E01408">
        <w:rPr>
          <w:rFonts w:ascii="Arial" w:hAnsi="Arial" w:cs="Arial"/>
          <w:sz w:val="20"/>
        </w:rPr>
        <w:t>-</w:t>
      </w:r>
      <w:r>
        <w:rPr>
          <w:rFonts w:ascii="Arial" w:hAnsi="Arial" w:cs="Arial"/>
          <w:sz w:val="20"/>
        </w:rPr>
        <w:t>intuitive that it would then become permissible after a proportion of the cooling-off period had expired.</w:t>
      </w:r>
    </w:p>
    <w:p w:rsidR="000100F5" w:rsidRPr="00B42D4D" w:rsidRDefault="000100F5" w:rsidP="001500EA">
      <w:pPr>
        <w:pStyle w:val="StyleLeft585pt"/>
        <w:spacing w:before="240"/>
        <w:ind w:left="0"/>
        <w:jc w:val="both"/>
        <w:rPr>
          <w:rFonts w:ascii="Arial" w:hAnsi="Arial" w:cs="Arial"/>
          <w:i/>
          <w:sz w:val="20"/>
        </w:rPr>
      </w:pPr>
      <w:r>
        <w:rPr>
          <w:rFonts w:ascii="Arial" w:hAnsi="Arial" w:cs="Arial"/>
          <w:i/>
          <w:sz w:val="20"/>
        </w:rPr>
        <w:t>Board Comments</w:t>
      </w:r>
      <w:r w:rsidR="00026C48">
        <w:rPr>
          <w:rFonts w:ascii="Arial" w:hAnsi="Arial" w:cs="Arial"/>
          <w:i/>
          <w:sz w:val="20"/>
        </w:rPr>
        <w:t xml:space="preserve"> at its April </w:t>
      </w:r>
      <w:r w:rsidR="001500EA">
        <w:rPr>
          <w:rFonts w:ascii="Arial" w:hAnsi="Arial" w:cs="Arial"/>
          <w:i/>
          <w:sz w:val="20"/>
        </w:rPr>
        <w:t xml:space="preserve">2014 </w:t>
      </w:r>
      <w:r w:rsidR="00026C48">
        <w:rPr>
          <w:rFonts w:ascii="Arial" w:hAnsi="Arial" w:cs="Arial"/>
          <w:i/>
          <w:sz w:val="20"/>
        </w:rPr>
        <w:t>Meeting</w:t>
      </w:r>
    </w:p>
    <w:p w:rsidR="000100F5" w:rsidRPr="00BA027C" w:rsidRDefault="000100F5" w:rsidP="00F94009">
      <w:pPr>
        <w:pStyle w:val="StyleLeft585pt"/>
        <w:numPr>
          <w:ilvl w:val="0"/>
          <w:numId w:val="7"/>
        </w:numPr>
        <w:spacing w:before="120"/>
        <w:ind w:left="547" w:hanging="547"/>
        <w:jc w:val="both"/>
        <w:rPr>
          <w:rFonts w:ascii="Arial" w:eastAsia="MS Mincho" w:hAnsi="Arial" w:cs="Arial"/>
          <w:sz w:val="20"/>
        </w:rPr>
      </w:pPr>
      <w:r>
        <w:rPr>
          <w:rFonts w:ascii="Arial" w:hAnsi="Arial" w:cs="Arial"/>
          <w:sz w:val="20"/>
        </w:rPr>
        <w:t>The Board discussed whether restrictions on all non-audit services should be imposed during cooling-off, whether the restrictions should apply to services provided to all related entities of the audit client, and what types of services could be permitted, if any. The Board also discussed whether, if a restriction on non-audit services during cooling-off was imposed for all KAPs, there should be a relaxation of the prohibition after a period of two years for the LAEP. There was no consensus reached on these provisions as a whole:</w:t>
      </w:r>
    </w:p>
    <w:p w:rsidR="000100F5" w:rsidRPr="003C0345" w:rsidRDefault="000100F5" w:rsidP="000B4913">
      <w:pPr>
        <w:pStyle w:val="StyleLeft585pt"/>
        <w:numPr>
          <w:ilvl w:val="1"/>
          <w:numId w:val="7"/>
        </w:numPr>
        <w:spacing w:before="120"/>
        <w:ind w:left="1080" w:hanging="540"/>
        <w:jc w:val="both"/>
        <w:rPr>
          <w:rFonts w:ascii="Arial" w:eastAsia="MS Mincho" w:hAnsi="Arial" w:cs="Arial"/>
          <w:sz w:val="20"/>
        </w:rPr>
      </w:pPr>
      <w:r>
        <w:rPr>
          <w:rFonts w:ascii="Arial" w:hAnsi="Arial" w:cs="Arial"/>
          <w:sz w:val="20"/>
        </w:rPr>
        <w:t xml:space="preserve">Some Board Members </w:t>
      </w:r>
      <w:r w:rsidRPr="00BA027C">
        <w:rPr>
          <w:rFonts w:ascii="Arial" w:hAnsi="Arial" w:cs="Arial"/>
          <w:sz w:val="20"/>
        </w:rPr>
        <w:t xml:space="preserve">expressed support for </w:t>
      </w:r>
      <w:r>
        <w:rPr>
          <w:rFonts w:ascii="Arial" w:hAnsi="Arial" w:cs="Arial"/>
          <w:sz w:val="20"/>
        </w:rPr>
        <w:t xml:space="preserve">there being no relaxation to the restrictions on activities during </w:t>
      </w:r>
      <w:r w:rsidRPr="00BA027C">
        <w:rPr>
          <w:rFonts w:ascii="Arial" w:hAnsi="Arial" w:cs="Arial"/>
          <w:sz w:val="20"/>
        </w:rPr>
        <w:t>the fiv</w:t>
      </w:r>
      <w:r w:rsidR="001500EA">
        <w:rPr>
          <w:rFonts w:ascii="Arial" w:hAnsi="Arial" w:cs="Arial"/>
          <w:sz w:val="20"/>
        </w:rPr>
        <w:t>e-</w:t>
      </w:r>
      <w:r>
        <w:rPr>
          <w:rFonts w:ascii="Arial" w:hAnsi="Arial" w:cs="Arial"/>
          <w:sz w:val="20"/>
        </w:rPr>
        <w:t>year cooling-</w:t>
      </w:r>
      <w:r w:rsidRPr="00BA027C">
        <w:rPr>
          <w:rFonts w:ascii="Arial" w:hAnsi="Arial" w:cs="Arial"/>
          <w:sz w:val="20"/>
        </w:rPr>
        <w:t xml:space="preserve">off period. They believed that it would be difficult to justify </w:t>
      </w:r>
      <w:r w:rsidR="001500EA">
        <w:rPr>
          <w:rFonts w:ascii="Arial" w:hAnsi="Arial" w:cs="Arial"/>
          <w:sz w:val="20"/>
        </w:rPr>
        <w:t>proposing the five-</w:t>
      </w:r>
      <w:r>
        <w:rPr>
          <w:rFonts w:ascii="Arial" w:hAnsi="Arial" w:cs="Arial"/>
          <w:sz w:val="20"/>
        </w:rPr>
        <w:t>year cooling-</w:t>
      </w:r>
      <w:r w:rsidRPr="00BA027C">
        <w:rPr>
          <w:rFonts w:ascii="Arial" w:hAnsi="Arial" w:cs="Arial"/>
          <w:sz w:val="20"/>
        </w:rPr>
        <w:t>off provision on the one hand and then allowing exceptions after two yea</w:t>
      </w:r>
      <w:r>
        <w:rPr>
          <w:rFonts w:ascii="Arial" w:hAnsi="Arial" w:cs="Arial"/>
          <w:sz w:val="20"/>
        </w:rPr>
        <w:t>rs of cooling-off.</w:t>
      </w:r>
    </w:p>
    <w:p w:rsidR="000100F5" w:rsidRDefault="000100F5" w:rsidP="000B4913">
      <w:pPr>
        <w:pStyle w:val="StyleLeft585pt"/>
        <w:numPr>
          <w:ilvl w:val="1"/>
          <w:numId w:val="7"/>
        </w:numPr>
        <w:spacing w:before="120"/>
        <w:ind w:left="1080" w:hanging="540"/>
        <w:jc w:val="both"/>
        <w:rPr>
          <w:rFonts w:ascii="Arial" w:eastAsia="MS Mincho" w:hAnsi="Arial" w:cs="Arial"/>
          <w:sz w:val="20"/>
        </w:rPr>
      </w:pPr>
      <w:r>
        <w:rPr>
          <w:rFonts w:ascii="Arial" w:eastAsia="MS Mincho" w:hAnsi="Arial" w:cs="Arial"/>
          <w:sz w:val="20"/>
        </w:rPr>
        <w:t>Other Board members agreed with the proposal for the provision of certain services being acceptable after a two-year period because they felt that the two-year period was sufficient to provide an appropriate balance with the need to not unnecessarily restrict access to resources for the remainder of the cooling-off period. During the discussion, some Board Members expressed the view that the two-year period could be acceptable in relation to non-client specific services.</w:t>
      </w:r>
    </w:p>
    <w:p w:rsidR="000100F5" w:rsidRPr="00165324" w:rsidRDefault="000100F5" w:rsidP="000B4913">
      <w:pPr>
        <w:pStyle w:val="StyleLeft585pt"/>
        <w:numPr>
          <w:ilvl w:val="1"/>
          <w:numId w:val="7"/>
        </w:numPr>
        <w:spacing w:before="120"/>
        <w:ind w:left="1080" w:hanging="540"/>
        <w:jc w:val="both"/>
        <w:rPr>
          <w:rFonts w:ascii="Arial" w:eastAsia="MS Mincho" w:hAnsi="Arial" w:cs="Arial"/>
          <w:sz w:val="20"/>
        </w:rPr>
      </w:pPr>
      <w:r>
        <w:rPr>
          <w:rFonts w:ascii="Arial" w:hAnsi="Arial" w:cs="Arial"/>
          <w:sz w:val="20"/>
        </w:rPr>
        <w:t>One Board member supported a restriction on activities without exception for the five-year cooling-off period only if the LAEP was returning to the audit engagement after the expiry of that period, but supported some work being undertaken after two years if the LAEP was not going to return to the audit engagement.</w:t>
      </w:r>
    </w:p>
    <w:p w:rsidR="000100F5" w:rsidRPr="00165324" w:rsidRDefault="000100F5" w:rsidP="00F94009">
      <w:pPr>
        <w:pStyle w:val="StyleLeft585pt"/>
        <w:numPr>
          <w:ilvl w:val="0"/>
          <w:numId w:val="7"/>
        </w:numPr>
        <w:spacing w:before="120"/>
        <w:ind w:left="547" w:hanging="547"/>
        <w:jc w:val="both"/>
        <w:rPr>
          <w:rFonts w:ascii="Arial" w:eastAsia="MS Mincho" w:hAnsi="Arial" w:cs="Arial"/>
          <w:sz w:val="20"/>
        </w:rPr>
      </w:pPr>
      <w:r w:rsidRPr="00165324">
        <w:rPr>
          <w:rFonts w:ascii="Arial" w:eastAsia="MS Mincho" w:hAnsi="Arial" w:cs="Arial"/>
          <w:sz w:val="20"/>
        </w:rPr>
        <w:t>After confirming that the proposed restriction on non-audit services during cooling-off was a stricter provision than currently exists in any jurisdiction, the Board agreed that time should be taken to consider the matter further.</w:t>
      </w:r>
    </w:p>
    <w:p w:rsidR="000100F5" w:rsidRPr="00A2135B" w:rsidRDefault="000100F5" w:rsidP="000100F5">
      <w:pPr>
        <w:pStyle w:val="StyleLeft585pt"/>
        <w:spacing w:before="240"/>
        <w:ind w:left="0"/>
        <w:jc w:val="both"/>
        <w:rPr>
          <w:rFonts w:ascii="Arial" w:hAnsi="Arial" w:cs="Arial"/>
          <w:i/>
          <w:sz w:val="20"/>
        </w:rPr>
      </w:pPr>
      <w:r w:rsidRPr="00A2135B">
        <w:rPr>
          <w:rFonts w:ascii="Arial" w:hAnsi="Arial" w:cs="Arial"/>
          <w:i/>
          <w:sz w:val="20"/>
        </w:rPr>
        <w:t xml:space="preserve">TF Deliberations </w:t>
      </w:r>
    </w:p>
    <w:p w:rsidR="000100F5" w:rsidRPr="00A2135B" w:rsidRDefault="000100F5" w:rsidP="00F94009">
      <w:pPr>
        <w:pStyle w:val="StyleLeft585pt"/>
        <w:numPr>
          <w:ilvl w:val="0"/>
          <w:numId w:val="7"/>
        </w:numPr>
        <w:spacing w:before="120"/>
        <w:ind w:left="547" w:hanging="547"/>
        <w:jc w:val="both"/>
        <w:rPr>
          <w:rFonts w:ascii="Arial" w:hAnsi="Arial" w:cs="Arial"/>
          <w:sz w:val="20"/>
        </w:rPr>
      </w:pPr>
      <w:r w:rsidRPr="00A2135B">
        <w:rPr>
          <w:rFonts w:ascii="Arial" w:hAnsi="Arial" w:cs="Arial"/>
          <w:sz w:val="20"/>
        </w:rPr>
        <w:t xml:space="preserve">The TF took into consideration the Board’s comments </w:t>
      </w:r>
      <w:r>
        <w:rPr>
          <w:rFonts w:ascii="Arial" w:hAnsi="Arial" w:cs="Arial"/>
          <w:sz w:val="20"/>
        </w:rPr>
        <w:t>including comments from one Board member that the provisions taken as a whole could still allow an individual to influence the audit even if that individual’s interaction with management was in a “limited and social context” as outlined in the draft proposals. The TF evaluated three options</w:t>
      </w:r>
      <w:r w:rsidRPr="00A2135B">
        <w:rPr>
          <w:rFonts w:ascii="Arial" w:hAnsi="Arial" w:cs="Arial"/>
          <w:sz w:val="20"/>
        </w:rPr>
        <w:t>:</w:t>
      </w:r>
    </w:p>
    <w:p w:rsidR="000100F5" w:rsidRPr="00A2135B" w:rsidRDefault="000100F5" w:rsidP="009337E8">
      <w:pPr>
        <w:pStyle w:val="StyleLeft585pt"/>
        <w:numPr>
          <w:ilvl w:val="0"/>
          <w:numId w:val="46"/>
        </w:numPr>
        <w:spacing w:before="120"/>
        <w:ind w:left="1080" w:hanging="547"/>
        <w:jc w:val="both"/>
        <w:rPr>
          <w:rFonts w:ascii="Arial" w:hAnsi="Arial" w:cs="Arial"/>
          <w:sz w:val="20"/>
        </w:rPr>
      </w:pPr>
      <w:r w:rsidRPr="00A2135B">
        <w:rPr>
          <w:rFonts w:ascii="Arial" w:hAnsi="Arial" w:cs="Arial"/>
          <w:sz w:val="20"/>
        </w:rPr>
        <w:t>Removing the restriction altogether in relation to other services</w:t>
      </w:r>
      <w:r>
        <w:rPr>
          <w:rFonts w:ascii="Arial" w:hAnsi="Arial" w:cs="Arial"/>
          <w:sz w:val="20"/>
        </w:rPr>
        <w:t>;</w:t>
      </w:r>
      <w:r w:rsidRPr="00A2135B">
        <w:rPr>
          <w:rFonts w:ascii="Arial" w:hAnsi="Arial" w:cs="Arial"/>
          <w:sz w:val="20"/>
        </w:rPr>
        <w:t xml:space="preserve"> </w:t>
      </w:r>
    </w:p>
    <w:p w:rsidR="000100F5" w:rsidRPr="00A2135B" w:rsidRDefault="000100F5" w:rsidP="009337E8">
      <w:pPr>
        <w:pStyle w:val="StyleLeft585pt"/>
        <w:numPr>
          <w:ilvl w:val="0"/>
          <w:numId w:val="46"/>
        </w:numPr>
        <w:tabs>
          <w:tab w:val="left" w:pos="540"/>
        </w:tabs>
        <w:spacing w:before="120"/>
        <w:ind w:left="1080" w:hanging="547"/>
        <w:jc w:val="both"/>
        <w:rPr>
          <w:rFonts w:ascii="Arial" w:hAnsi="Arial" w:cs="Arial"/>
          <w:sz w:val="20"/>
        </w:rPr>
      </w:pPr>
      <w:r w:rsidRPr="00A2135B">
        <w:rPr>
          <w:rFonts w:ascii="Arial" w:hAnsi="Arial" w:cs="Arial"/>
          <w:sz w:val="20"/>
        </w:rPr>
        <w:t>Leaving the provisions</w:t>
      </w:r>
      <w:r>
        <w:rPr>
          <w:rFonts w:ascii="Arial" w:hAnsi="Arial" w:cs="Arial"/>
          <w:sz w:val="20"/>
        </w:rPr>
        <w:t xml:space="preserve"> as proposed and/or removing the ability for the engagement partner to provide services after two years</w:t>
      </w:r>
      <w:r w:rsidRPr="00A2135B">
        <w:rPr>
          <w:rFonts w:ascii="Arial" w:hAnsi="Arial" w:cs="Arial"/>
          <w:sz w:val="20"/>
        </w:rPr>
        <w:t>; or</w:t>
      </w:r>
    </w:p>
    <w:p w:rsidR="000100F5" w:rsidRPr="00A2135B" w:rsidRDefault="000100F5" w:rsidP="009337E8">
      <w:pPr>
        <w:pStyle w:val="StyleLeft585pt"/>
        <w:numPr>
          <w:ilvl w:val="0"/>
          <w:numId w:val="46"/>
        </w:numPr>
        <w:spacing w:before="120"/>
        <w:ind w:left="1080" w:hanging="547"/>
        <w:jc w:val="both"/>
        <w:rPr>
          <w:rFonts w:ascii="Arial" w:hAnsi="Arial" w:cs="Arial"/>
          <w:sz w:val="20"/>
        </w:rPr>
      </w:pPr>
      <w:r w:rsidRPr="00A2135B">
        <w:rPr>
          <w:rFonts w:ascii="Arial" w:hAnsi="Arial" w:cs="Arial"/>
          <w:sz w:val="20"/>
        </w:rPr>
        <w:t>Seeking some middle ground</w:t>
      </w:r>
      <w:r>
        <w:rPr>
          <w:rFonts w:ascii="Arial" w:hAnsi="Arial" w:cs="Arial"/>
          <w:sz w:val="20"/>
        </w:rPr>
        <w:t xml:space="preserve"> and reconsidering the approach more generally</w:t>
      </w:r>
      <w:r w:rsidRPr="00A2135B">
        <w:rPr>
          <w:rFonts w:ascii="Arial" w:hAnsi="Arial" w:cs="Arial"/>
          <w:sz w:val="20"/>
        </w:rPr>
        <w:t xml:space="preserve">. </w:t>
      </w:r>
    </w:p>
    <w:p w:rsidR="000100F5" w:rsidRDefault="000100F5" w:rsidP="00F94009">
      <w:pPr>
        <w:pStyle w:val="StyleLeft585pt"/>
        <w:numPr>
          <w:ilvl w:val="0"/>
          <w:numId w:val="7"/>
        </w:numPr>
        <w:spacing w:before="120"/>
        <w:ind w:left="547" w:hanging="547"/>
        <w:jc w:val="both"/>
        <w:rPr>
          <w:rFonts w:ascii="Arial" w:hAnsi="Arial" w:cs="Arial"/>
          <w:sz w:val="20"/>
        </w:rPr>
      </w:pPr>
      <w:r>
        <w:rPr>
          <w:rFonts w:ascii="Arial" w:hAnsi="Arial" w:cs="Arial"/>
          <w:sz w:val="20"/>
        </w:rPr>
        <w:t>The TF</w:t>
      </w:r>
      <w:r w:rsidRPr="00A2135B">
        <w:rPr>
          <w:rFonts w:ascii="Arial" w:hAnsi="Arial" w:cs="Arial"/>
          <w:sz w:val="20"/>
        </w:rPr>
        <w:t xml:space="preserve"> </w:t>
      </w:r>
      <w:r>
        <w:rPr>
          <w:rFonts w:ascii="Arial" w:hAnsi="Arial" w:cs="Arial"/>
          <w:sz w:val="20"/>
        </w:rPr>
        <w:t xml:space="preserve">reconsidered the objective of the provisions and also discussed the feedback from the </w:t>
      </w:r>
      <w:r w:rsidR="001500EA">
        <w:rPr>
          <w:rFonts w:ascii="Arial" w:hAnsi="Arial" w:cs="Arial"/>
          <w:sz w:val="20"/>
        </w:rPr>
        <w:t>CAG</w:t>
      </w:r>
      <w:r>
        <w:rPr>
          <w:rFonts w:ascii="Arial" w:hAnsi="Arial" w:cs="Arial"/>
          <w:sz w:val="20"/>
        </w:rPr>
        <w:t xml:space="preserve">. The TF did not </w:t>
      </w:r>
      <w:r w:rsidRPr="00A2135B">
        <w:rPr>
          <w:rFonts w:ascii="Arial" w:hAnsi="Arial" w:cs="Arial"/>
          <w:sz w:val="20"/>
        </w:rPr>
        <w:t>believe</w:t>
      </w:r>
      <w:r>
        <w:rPr>
          <w:rFonts w:ascii="Arial" w:hAnsi="Arial" w:cs="Arial"/>
          <w:sz w:val="20"/>
        </w:rPr>
        <w:t xml:space="preserve"> removing the provision altogether was the correct response. It did, however, recognize that the restriction as proposed could be seen as excessive if the objective was to ensure the rotated individual could not be in a position to influence the outcome of the audit engagement or continue to interact closely and frequently with senior management or </w:t>
      </w:r>
      <w:r w:rsidR="001500EA">
        <w:rPr>
          <w:rFonts w:ascii="Arial" w:hAnsi="Arial" w:cs="Arial"/>
          <w:sz w:val="20"/>
        </w:rPr>
        <w:t>TCWG</w:t>
      </w:r>
      <w:r>
        <w:rPr>
          <w:rFonts w:ascii="Arial" w:hAnsi="Arial" w:cs="Arial"/>
          <w:sz w:val="20"/>
        </w:rPr>
        <w:t xml:space="preserve">. </w:t>
      </w:r>
    </w:p>
    <w:p w:rsidR="000100F5" w:rsidRPr="00A2135B" w:rsidRDefault="000100F5" w:rsidP="00F94009">
      <w:pPr>
        <w:pStyle w:val="StyleLeft585pt"/>
        <w:numPr>
          <w:ilvl w:val="0"/>
          <w:numId w:val="7"/>
        </w:numPr>
        <w:spacing w:before="120"/>
        <w:ind w:left="547" w:hanging="547"/>
        <w:jc w:val="both"/>
        <w:rPr>
          <w:rFonts w:ascii="Arial" w:hAnsi="Arial" w:cs="Arial"/>
          <w:sz w:val="20"/>
        </w:rPr>
      </w:pPr>
      <w:r w:rsidRPr="00A2135B">
        <w:rPr>
          <w:rFonts w:ascii="Arial" w:hAnsi="Arial" w:cs="Arial"/>
          <w:sz w:val="20"/>
        </w:rPr>
        <w:t>Whilst the TF considered that allowing a two</w:t>
      </w:r>
      <w:r>
        <w:rPr>
          <w:rFonts w:ascii="Arial" w:hAnsi="Arial" w:cs="Arial"/>
          <w:sz w:val="20"/>
        </w:rPr>
        <w:t>-</w:t>
      </w:r>
      <w:r w:rsidRPr="00A2135B">
        <w:rPr>
          <w:rFonts w:ascii="Arial" w:hAnsi="Arial" w:cs="Arial"/>
          <w:sz w:val="20"/>
        </w:rPr>
        <w:t xml:space="preserve">year cooling-off period for a LAEP </w:t>
      </w:r>
      <w:r>
        <w:rPr>
          <w:rFonts w:ascii="Arial" w:hAnsi="Arial" w:cs="Arial"/>
          <w:sz w:val="20"/>
        </w:rPr>
        <w:t>who</w:t>
      </w:r>
      <w:r w:rsidRPr="00A2135B">
        <w:rPr>
          <w:rFonts w:ascii="Arial" w:hAnsi="Arial" w:cs="Arial"/>
          <w:sz w:val="20"/>
        </w:rPr>
        <w:t xml:space="preserve"> was not going to return to the engagement had merit</w:t>
      </w:r>
      <w:r>
        <w:rPr>
          <w:rFonts w:ascii="Arial" w:hAnsi="Arial" w:cs="Arial"/>
          <w:sz w:val="20"/>
        </w:rPr>
        <w:t>,</w:t>
      </w:r>
      <w:r w:rsidRPr="00A2135B">
        <w:rPr>
          <w:rFonts w:ascii="Arial" w:hAnsi="Arial" w:cs="Arial"/>
          <w:sz w:val="20"/>
        </w:rPr>
        <w:t xml:space="preserve"> it believed that this would add further complexity to the position.</w:t>
      </w:r>
    </w:p>
    <w:p w:rsidR="000100F5" w:rsidRDefault="000100F5" w:rsidP="00F94009">
      <w:pPr>
        <w:pStyle w:val="StyleLeft585pt"/>
        <w:numPr>
          <w:ilvl w:val="0"/>
          <w:numId w:val="7"/>
        </w:numPr>
        <w:spacing w:before="120"/>
        <w:ind w:left="547" w:hanging="547"/>
        <w:jc w:val="both"/>
        <w:rPr>
          <w:rFonts w:ascii="Arial" w:hAnsi="Arial" w:cs="Arial"/>
          <w:sz w:val="20"/>
        </w:rPr>
      </w:pPr>
      <w:r w:rsidRPr="00987B1D">
        <w:rPr>
          <w:rFonts w:ascii="Arial" w:hAnsi="Arial" w:cs="Arial"/>
          <w:sz w:val="20"/>
        </w:rPr>
        <w:t xml:space="preserve">The TF noted the Board’s concern on the complexity of the provisions and felt that it could add more clarity to the existing provisions by going back to the principles that the provisions are trying to address. The TF felt that the essence of the issue hinges on whether an individual exerts influence on the outcome of the audit engagement or has significant </w:t>
      </w:r>
      <w:r w:rsidR="00493FDB">
        <w:rPr>
          <w:rFonts w:ascii="Arial" w:hAnsi="Arial" w:cs="Arial"/>
          <w:sz w:val="20"/>
        </w:rPr>
        <w:t xml:space="preserve">or </w:t>
      </w:r>
      <w:r w:rsidRPr="00987B1D">
        <w:rPr>
          <w:rFonts w:ascii="Arial" w:hAnsi="Arial" w:cs="Arial"/>
          <w:sz w:val="20"/>
        </w:rPr>
        <w:t>ongoing contact with client management.</w:t>
      </w:r>
    </w:p>
    <w:p w:rsidR="004022F5" w:rsidRDefault="000100F5" w:rsidP="004022F5">
      <w:pPr>
        <w:pStyle w:val="StyleLeft585pt"/>
        <w:numPr>
          <w:ilvl w:val="0"/>
          <w:numId w:val="7"/>
        </w:numPr>
        <w:spacing w:before="120" w:after="120"/>
        <w:ind w:left="547" w:hanging="547"/>
        <w:jc w:val="both"/>
        <w:rPr>
          <w:rFonts w:ascii="Arial" w:hAnsi="Arial" w:cs="Arial"/>
          <w:sz w:val="20"/>
        </w:rPr>
      </w:pPr>
      <w:r w:rsidRPr="00987B1D">
        <w:rPr>
          <w:rFonts w:ascii="Arial" w:hAnsi="Arial" w:cs="Arial"/>
          <w:sz w:val="20"/>
        </w:rPr>
        <w:t xml:space="preserve">The TF proposes for all KAPs that an individual be restricted from undertaking any roles or activities with respect to the audit client which would result in the individual having ongoing or frequent interaction with senior management or </w:t>
      </w:r>
      <w:r w:rsidR="001500EA">
        <w:rPr>
          <w:rFonts w:ascii="Arial" w:hAnsi="Arial" w:cs="Arial"/>
          <w:sz w:val="20"/>
        </w:rPr>
        <w:t>TCWG</w:t>
      </w:r>
      <w:r w:rsidRPr="00987B1D">
        <w:rPr>
          <w:rFonts w:ascii="Arial" w:hAnsi="Arial" w:cs="Arial"/>
          <w:sz w:val="20"/>
        </w:rPr>
        <w:t>, or being able to exert influence, including through the provision of other services, on the outcome of the audit engagement. The TF considers this proposal addresses the concerns of the Board and the comments of the CAG.</w:t>
      </w:r>
    </w:p>
    <w:p w:rsidR="004022F5" w:rsidRPr="004022F5" w:rsidRDefault="004022F5" w:rsidP="007E35EF">
      <w:pPr>
        <w:pStyle w:val="StyleLeft585pt"/>
        <w:spacing w:before="240" w:after="120"/>
        <w:ind w:left="0"/>
        <w:jc w:val="both"/>
        <w:rPr>
          <w:rFonts w:ascii="Arial" w:hAnsi="Arial" w:cs="Arial"/>
          <w:i/>
          <w:sz w:val="20"/>
        </w:rPr>
      </w:pPr>
      <w:r>
        <w:rPr>
          <w:rFonts w:ascii="Arial" w:hAnsi="Arial" w:cs="Arial"/>
          <w:i/>
          <w:sz w:val="20"/>
        </w:rPr>
        <w:t xml:space="preserve">Board </w:t>
      </w:r>
      <w:r w:rsidR="007E35EF">
        <w:rPr>
          <w:rFonts w:ascii="Arial" w:hAnsi="Arial" w:cs="Arial"/>
          <w:i/>
          <w:sz w:val="20"/>
        </w:rPr>
        <w:t>C</w:t>
      </w:r>
      <w:r>
        <w:rPr>
          <w:rFonts w:ascii="Arial" w:hAnsi="Arial" w:cs="Arial"/>
          <w:i/>
          <w:sz w:val="20"/>
        </w:rPr>
        <w:t>omments at its April 2014 Teleconference</w:t>
      </w:r>
    </w:p>
    <w:p w:rsidR="00F27FAC" w:rsidRDefault="00FC1842" w:rsidP="00F27FAC">
      <w:pPr>
        <w:pStyle w:val="StyleLeft585pt"/>
        <w:numPr>
          <w:ilvl w:val="0"/>
          <w:numId w:val="7"/>
        </w:numPr>
        <w:spacing w:before="120" w:after="120"/>
        <w:ind w:left="547" w:hanging="547"/>
        <w:jc w:val="both"/>
        <w:rPr>
          <w:rFonts w:ascii="Arial" w:hAnsi="Arial" w:cs="Arial"/>
          <w:sz w:val="20"/>
        </w:rPr>
      </w:pPr>
      <w:r>
        <w:rPr>
          <w:rFonts w:ascii="Arial" w:hAnsi="Arial" w:cs="Arial"/>
          <w:sz w:val="20"/>
        </w:rPr>
        <w:t xml:space="preserve">The </w:t>
      </w:r>
      <w:r w:rsidR="00832CAF">
        <w:rPr>
          <w:rFonts w:ascii="Arial" w:hAnsi="Arial" w:cs="Arial"/>
          <w:sz w:val="20"/>
        </w:rPr>
        <w:t>majority of IESBA members supported the TF’s revised proposal</w:t>
      </w:r>
      <w:r w:rsidR="0088282C">
        <w:rPr>
          <w:rFonts w:ascii="Arial" w:hAnsi="Arial" w:cs="Arial"/>
          <w:sz w:val="20"/>
        </w:rPr>
        <w:t xml:space="preserve"> that there not be an overall prohibition </w:t>
      </w:r>
      <w:r w:rsidR="007E35EF">
        <w:rPr>
          <w:rFonts w:ascii="Arial" w:hAnsi="Arial" w:cs="Arial"/>
          <w:sz w:val="20"/>
        </w:rPr>
        <w:t xml:space="preserve">but </w:t>
      </w:r>
      <w:r w:rsidR="0088282C">
        <w:rPr>
          <w:rFonts w:ascii="Arial" w:hAnsi="Arial" w:cs="Arial"/>
          <w:sz w:val="20"/>
        </w:rPr>
        <w:t>rather a principle about the activities that should be restricted only if they impact the audit</w:t>
      </w:r>
      <w:r>
        <w:rPr>
          <w:rFonts w:ascii="Arial" w:hAnsi="Arial" w:cs="Arial"/>
          <w:sz w:val="20"/>
        </w:rPr>
        <w:t>.</w:t>
      </w:r>
      <w:r w:rsidR="00832CAF">
        <w:rPr>
          <w:rFonts w:ascii="Arial" w:hAnsi="Arial" w:cs="Arial"/>
          <w:sz w:val="20"/>
        </w:rPr>
        <w:t xml:space="preserve"> </w:t>
      </w:r>
      <w:r>
        <w:rPr>
          <w:rFonts w:ascii="Arial" w:hAnsi="Arial" w:cs="Arial"/>
          <w:sz w:val="20"/>
        </w:rPr>
        <w:t>S</w:t>
      </w:r>
      <w:r w:rsidR="00832CAF">
        <w:rPr>
          <w:rFonts w:ascii="Arial" w:hAnsi="Arial" w:cs="Arial"/>
          <w:sz w:val="20"/>
        </w:rPr>
        <w:t>ome IESBA members also made the following comments and suggestions f</w:t>
      </w:r>
      <w:r w:rsidR="00F27FAC">
        <w:rPr>
          <w:rFonts w:ascii="Arial" w:hAnsi="Arial" w:cs="Arial"/>
          <w:sz w:val="20"/>
        </w:rPr>
        <w:t>or the TF’s further deliberations:</w:t>
      </w:r>
    </w:p>
    <w:p w:rsidR="00B11E6B" w:rsidRDefault="00012A04" w:rsidP="00462B86">
      <w:pPr>
        <w:pStyle w:val="StyleLeft585pt"/>
        <w:numPr>
          <w:ilvl w:val="0"/>
          <w:numId w:val="50"/>
        </w:numPr>
        <w:spacing w:before="120" w:after="120"/>
        <w:ind w:left="1094" w:hanging="547"/>
        <w:jc w:val="both"/>
        <w:rPr>
          <w:rFonts w:ascii="Arial" w:hAnsi="Arial" w:cs="Arial"/>
          <w:sz w:val="20"/>
        </w:rPr>
      </w:pPr>
      <w:r>
        <w:rPr>
          <w:rFonts w:ascii="Arial" w:hAnsi="Arial" w:cs="Arial"/>
          <w:sz w:val="20"/>
        </w:rPr>
        <w:t>Whether t</w:t>
      </w:r>
      <w:r w:rsidR="00F27FAC">
        <w:rPr>
          <w:rFonts w:ascii="Arial" w:hAnsi="Arial" w:cs="Arial"/>
          <w:sz w:val="20"/>
        </w:rPr>
        <w:t>he w</w:t>
      </w:r>
      <w:r w:rsidR="00B11E6B">
        <w:rPr>
          <w:rFonts w:ascii="Arial" w:hAnsi="Arial" w:cs="Arial"/>
          <w:sz w:val="20"/>
        </w:rPr>
        <w:t>o</w:t>
      </w:r>
      <w:r w:rsidR="00F27FAC">
        <w:rPr>
          <w:rFonts w:ascii="Arial" w:hAnsi="Arial" w:cs="Arial"/>
          <w:sz w:val="20"/>
        </w:rPr>
        <w:t xml:space="preserve">rding of the provision in relation to </w:t>
      </w:r>
      <w:r w:rsidR="00B11E6B">
        <w:rPr>
          <w:rFonts w:ascii="Arial" w:hAnsi="Arial" w:cs="Arial"/>
          <w:sz w:val="20"/>
        </w:rPr>
        <w:t>exerting influence on the audit be adjusted so that it could not be construed as prohibiting the LAEP or KAP from becoming the managing partner</w:t>
      </w:r>
      <w:r w:rsidR="008A6EBA">
        <w:rPr>
          <w:rFonts w:ascii="Arial" w:hAnsi="Arial" w:cs="Arial"/>
          <w:sz w:val="20"/>
        </w:rPr>
        <w:t xml:space="preserve"> of the firm during cooling-off</w:t>
      </w:r>
      <w:r w:rsidR="007E35EF">
        <w:rPr>
          <w:rFonts w:ascii="Arial" w:hAnsi="Arial" w:cs="Arial"/>
          <w:sz w:val="20"/>
        </w:rPr>
        <w:t>.</w:t>
      </w:r>
    </w:p>
    <w:p w:rsidR="008A6EBA" w:rsidRDefault="00012A04" w:rsidP="00462B86">
      <w:pPr>
        <w:pStyle w:val="StyleLeft585pt"/>
        <w:numPr>
          <w:ilvl w:val="0"/>
          <w:numId w:val="50"/>
        </w:numPr>
        <w:spacing w:before="120" w:after="120"/>
        <w:ind w:left="1094" w:hanging="547"/>
        <w:jc w:val="both"/>
        <w:rPr>
          <w:rFonts w:ascii="Arial" w:hAnsi="Arial" w:cs="Arial"/>
          <w:sz w:val="20"/>
        </w:rPr>
      </w:pPr>
      <w:r>
        <w:rPr>
          <w:rFonts w:ascii="Arial" w:hAnsi="Arial" w:cs="Arial"/>
          <w:sz w:val="20"/>
        </w:rPr>
        <w:t>Whether the</w:t>
      </w:r>
      <w:r w:rsidR="00B11E6B">
        <w:rPr>
          <w:rFonts w:ascii="Arial" w:hAnsi="Arial" w:cs="Arial"/>
          <w:sz w:val="20"/>
        </w:rPr>
        <w:t xml:space="preserve"> wording of the provisions regarding consultation during the cooling-off period</w:t>
      </w:r>
      <w:r w:rsidR="008A6EBA">
        <w:rPr>
          <w:rFonts w:ascii="Arial" w:hAnsi="Arial" w:cs="Arial"/>
          <w:sz w:val="20"/>
        </w:rPr>
        <w:t xml:space="preserve"> appeared to be inconsistent </w:t>
      </w:r>
      <w:r w:rsidR="00FC1842">
        <w:rPr>
          <w:rFonts w:ascii="Arial" w:hAnsi="Arial" w:cs="Arial"/>
          <w:sz w:val="20"/>
        </w:rPr>
        <w:t xml:space="preserve">with the proposed principle, given </w:t>
      </w:r>
      <w:r w:rsidR="008A6EBA">
        <w:rPr>
          <w:rFonts w:ascii="Arial" w:hAnsi="Arial" w:cs="Arial"/>
          <w:sz w:val="20"/>
        </w:rPr>
        <w:t>th</w:t>
      </w:r>
      <w:r w:rsidR="00E01408">
        <w:rPr>
          <w:rFonts w:ascii="Arial" w:hAnsi="Arial" w:cs="Arial"/>
          <w:sz w:val="20"/>
        </w:rPr>
        <w:t>at</w:t>
      </w:r>
      <w:r w:rsidR="008A6EBA">
        <w:rPr>
          <w:rFonts w:ascii="Arial" w:hAnsi="Arial" w:cs="Arial"/>
          <w:sz w:val="20"/>
        </w:rPr>
        <w:t xml:space="preserve"> </w:t>
      </w:r>
      <w:r w:rsidR="00FC1842">
        <w:rPr>
          <w:rFonts w:ascii="Arial" w:hAnsi="Arial" w:cs="Arial"/>
          <w:sz w:val="20"/>
        </w:rPr>
        <w:t xml:space="preserve">by being permitted </w:t>
      </w:r>
      <w:r w:rsidR="008A6EBA">
        <w:rPr>
          <w:rFonts w:ascii="Arial" w:hAnsi="Arial" w:cs="Arial"/>
          <w:sz w:val="20"/>
        </w:rPr>
        <w:t>to consult after a two</w:t>
      </w:r>
      <w:r w:rsidR="009D6E89">
        <w:rPr>
          <w:rFonts w:ascii="Arial" w:hAnsi="Arial" w:cs="Arial"/>
          <w:sz w:val="20"/>
        </w:rPr>
        <w:t>-</w:t>
      </w:r>
      <w:r w:rsidR="008A6EBA">
        <w:rPr>
          <w:rFonts w:ascii="Arial" w:hAnsi="Arial" w:cs="Arial"/>
          <w:sz w:val="20"/>
        </w:rPr>
        <w:t>year period has elapsed</w:t>
      </w:r>
      <w:r w:rsidR="00FC1842">
        <w:rPr>
          <w:rFonts w:ascii="Arial" w:hAnsi="Arial" w:cs="Arial"/>
          <w:sz w:val="20"/>
        </w:rPr>
        <w:t xml:space="preserve">, the LAEP would be in a role </w:t>
      </w:r>
      <w:r w:rsidR="007B31BD">
        <w:rPr>
          <w:rFonts w:ascii="Arial" w:hAnsi="Arial" w:cs="Arial"/>
          <w:sz w:val="20"/>
        </w:rPr>
        <w:t xml:space="preserve">where </w:t>
      </w:r>
      <w:r w:rsidR="00FC1842">
        <w:rPr>
          <w:rFonts w:ascii="Arial" w:hAnsi="Arial" w:cs="Arial"/>
          <w:sz w:val="20"/>
        </w:rPr>
        <w:t>they could influence the audit</w:t>
      </w:r>
      <w:r w:rsidR="007E35EF">
        <w:rPr>
          <w:rFonts w:ascii="Arial" w:hAnsi="Arial" w:cs="Arial"/>
          <w:sz w:val="20"/>
        </w:rPr>
        <w:t>.</w:t>
      </w:r>
    </w:p>
    <w:p w:rsidR="00DD6DF9" w:rsidRPr="00613C1B" w:rsidRDefault="008A6EBA" w:rsidP="00462B86">
      <w:pPr>
        <w:pStyle w:val="StyleLeft585pt"/>
        <w:numPr>
          <w:ilvl w:val="0"/>
          <w:numId w:val="50"/>
        </w:numPr>
        <w:spacing w:before="120" w:after="120"/>
        <w:ind w:left="1094" w:hanging="547"/>
        <w:jc w:val="both"/>
        <w:rPr>
          <w:rFonts w:ascii="Arial" w:hAnsi="Arial" w:cs="Arial"/>
          <w:sz w:val="20"/>
        </w:rPr>
      </w:pPr>
      <w:r w:rsidRPr="00613C1B">
        <w:rPr>
          <w:rFonts w:ascii="Arial" w:hAnsi="Arial" w:cs="Arial"/>
          <w:sz w:val="20"/>
        </w:rPr>
        <w:t>Whether in the proposals the term LAEP might be used instead of engagement partner</w:t>
      </w:r>
      <w:r w:rsidR="007E35EF">
        <w:rPr>
          <w:rFonts w:ascii="Arial" w:hAnsi="Arial" w:cs="Arial"/>
          <w:sz w:val="20"/>
        </w:rPr>
        <w:t>.</w:t>
      </w:r>
    </w:p>
    <w:p w:rsidR="00DD6DF9" w:rsidRDefault="00DD6DF9" w:rsidP="00462B86">
      <w:pPr>
        <w:pStyle w:val="StyleLeft585pt"/>
        <w:numPr>
          <w:ilvl w:val="0"/>
          <w:numId w:val="50"/>
        </w:numPr>
        <w:spacing w:before="120" w:after="120"/>
        <w:ind w:left="1094" w:hanging="547"/>
        <w:jc w:val="both"/>
        <w:rPr>
          <w:rFonts w:ascii="Arial" w:hAnsi="Arial" w:cs="Arial"/>
          <w:sz w:val="20"/>
        </w:rPr>
      </w:pPr>
      <w:r>
        <w:rPr>
          <w:rFonts w:ascii="Arial" w:hAnsi="Arial" w:cs="Arial"/>
          <w:sz w:val="20"/>
        </w:rPr>
        <w:t xml:space="preserve">Whether the term </w:t>
      </w:r>
      <w:r w:rsidR="00FC1842">
        <w:rPr>
          <w:rFonts w:ascii="Arial" w:hAnsi="Arial" w:cs="Arial"/>
          <w:sz w:val="20"/>
        </w:rPr>
        <w:t>“</w:t>
      </w:r>
      <w:r>
        <w:rPr>
          <w:rFonts w:ascii="Arial" w:hAnsi="Arial" w:cs="Arial"/>
          <w:sz w:val="20"/>
        </w:rPr>
        <w:t>other services</w:t>
      </w:r>
      <w:r w:rsidR="00FC1842">
        <w:rPr>
          <w:rFonts w:ascii="Arial" w:hAnsi="Arial" w:cs="Arial"/>
          <w:sz w:val="20"/>
        </w:rPr>
        <w:t>”</w:t>
      </w:r>
      <w:r>
        <w:rPr>
          <w:rFonts w:ascii="Arial" w:hAnsi="Arial" w:cs="Arial"/>
          <w:sz w:val="20"/>
        </w:rPr>
        <w:t xml:space="preserve"> was intended to include no</w:t>
      </w:r>
      <w:r w:rsidR="002E6C7B">
        <w:rPr>
          <w:rFonts w:ascii="Arial" w:hAnsi="Arial" w:cs="Arial"/>
          <w:sz w:val="20"/>
        </w:rPr>
        <w:t>n</w:t>
      </w:r>
      <w:r>
        <w:rPr>
          <w:rFonts w:ascii="Arial" w:hAnsi="Arial" w:cs="Arial"/>
          <w:sz w:val="20"/>
        </w:rPr>
        <w:t>-audit services</w:t>
      </w:r>
      <w:r w:rsidR="007E35EF">
        <w:rPr>
          <w:rFonts w:ascii="Arial" w:hAnsi="Arial" w:cs="Arial"/>
          <w:sz w:val="20"/>
        </w:rPr>
        <w:t>.</w:t>
      </w:r>
    </w:p>
    <w:p w:rsidR="00E61C0B" w:rsidRPr="009804BD" w:rsidRDefault="00DD6DF9" w:rsidP="00886B21">
      <w:pPr>
        <w:pStyle w:val="StyleLeft585pt"/>
        <w:numPr>
          <w:ilvl w:val="0"/>
          <w:numId w:val="7"/>
        </w:numPr>
        <w:spacing w:before="120" w:after="120"/>
        <w:ind w:left="547" w:hanging="547"/>
        <w:jc w:val="both"/>
        <w:rPr>
          <w:rFonts w:ascii="Arial" w:hAnsi="Arial" w:cs="Arial"/>
          <w:sz w:val="20"/>
        </w:rPr>
      </w:pPr>
      <w:r>
        <w:rPr>
          <w:rFonts w:ascii="Arial" w:hAnsi="Arial" w:cs="Arial"/>
          <w:sz w:val="20"/>
        </w:rPr>
        <w:t>Mr</w:t>
      </w:r>
      <w:r w:rsidR="000114BF">
        <w:rPr>
          <w:rFonts w:ascii="Arial" w:hAnsi="Arial" w:cs="Arial"/>
          <w:sz w:val="20"/>
        </w:rPr>
        <w:t>.</w:t>
      </w:r>
      <w:r>
        <w:rPr>
          <w:rFonts w:ascii="Arial" w:hAnsi="Arial" w:cs="Arial"/>
          <w:sz w:val="20"/>
        </w:rPr>
        <w:t xml:space="preserve"> Koktvedgaard commented that the proposals were a simpler solution but questioned whether the right balance had been struck. He indicated </w:t>
      </w:r>
      <w:r w:rsidR="00FC1842">
        <w:rPr>
          <w:rFonts w:ascii="Arial" w:hAnsi="Arial" w:cs="Arial"/>
          <w:sz w:val="20"/>
        </w:rPr>
        <w:t xml:space="preserve">a continuing </w:t>
      </w:r>
      <w:r>
        <w:rPr>
          <w:rFonts w:ascii="Arial" w:hAnsi="Arial" w:cs="Arial"/>
          <w:sz w:val="20"/>
        </w:rPr>
        <w:t>concern about the LAEP having any involvement with the audit team during the cooling</w:t>
      </w:r>
      <w:r w:rsidR="002A4F90">
        <w:rPr>
          <w:rFonts w:ascii="Arial" w:hAnsi="Arial" w:cs="Arial"/>
          <w:sz w:val="20"/>
        </w:rPr>
        <w:t>-</w:t>
      </w:r>
      <w:r>
        <w:rPr>
          <w:rFonts w:ascii="Arial" w:hAnsi="Arial" w:cs="Arial"/>
          <w:sz w:val="20"/>
        </w:rPr>
        <w:t>off period.</w:t>
      </w:r>
    </w:p>
    <w:p w:rsidR="00E61C0B" w:rsidRDefault="00E952BD" w:rsidP="008600EA">
      <w:pPr>
        <w:pStyle w:val="StyleLeft585pt"/>
        <w:numPr>
          <w:ilvl w:val="0"/>
          <w:numId w:val="7"/>
        </w:numPr>
        <w:spacing w:before="120" w:after="120"/>
        <w:ind w:left="547" w:hanging="547"/>
        <w:jc w:val="both"/>
        <w:rPr>
          <w:rFonts w:ascii="Arial" w:hAnsi="Arial" w:cs="Arial"/>
          <w:sz w:val="20"/>
        </w:rPr>
      </w:pPr>
      <w:r>
        <w:rPr>
          <w:rFonts w:ascii="Arial" w:hAnsi="Arial" w:cs="Arial"/>
          <w:sz w:val="20"/>
        </w:rPr>
        <w:t>The T</w:t>
      </w:r>
      <w:r w:rsidR="002E6C7B">
        <w:rPr>
          <w:rFonts w:ascii="Arial" w:hAnsi="Arial" w:cs="Arial"/>
          <w:sz w:val="20"/>
        </w:rPr>
        <w:t xml:space="preserve">F </w:t>
      </w:r>
      <w:r w:rsidR="00FC1842">
        <w:rPr>
          <w:rFonts w:ascii="Arial" w:hAnsi="Arial" w:cs="Arial"/>
          <w:sz w:val="20"/>
        </w:rPr>
        <w:t>has</w:t>
      </w:r>
      <w:r w:rsidR="002E6C7B">
        <w:rPr>
          <w:rFonts w:ascii="Arial" w:hAnsi="Arial" w:cs="Arial"/>
          <w:sz w:val="20"/>
        </w:rPr>
        <w:t xml:space="preserve"> deliberat</w:t>
      </w:r>
      <w:r w:rsidR="00FC1842">
        <w:rPr>
          <w:rFonts w:ascii="Arial" w:hAnsi="Arial" w:cs="Arial"/>
          <w:sz w:val="20"/>
        </w:rPr>
        <w:t>ed</w:t>
      </w:r>
      <w:r w:rsidR="002E6C7B">
        <w:rPr>
          <w:rFonts w:ascii="Arial" w:hAnsi="Arial" w:cs="Arial"/>
          <w:sz w:val="20"/>
        </w:rPr>
        <w:t xml:space="preserve"> </w:t>
      </w:r>
      <w:r w:rsidR="009804BD">
        <w:rPr>
          <w:rFonts w:ascii="Arial" w:hAnsi="Arial" w:cs="Arial"/>
          <w:sz w:val="20"/>
        </w:rPr>
        <w:t xml:space="preserve">on the comments from the Board and </w:t>
      </w:r>
      <w:r w:rsidR="00FC1842">
        <w:rPr>
          <w:rFonts w:ascii="Arial" w:hAnsi="Arial" w:cs="Arial"/>
          <w:sz w:val="20"/>
        </w:rPr>
        <w:t xml:space="preserve">made further </w:t>
      </w:r>
      <w:r w:rsidR="00886B21">
        <w:rPr>
          <w:rFonts w:ascii="Arial" w:hAnsi="Arial" w:cs="Arial"/>
          <w:sz w:val="20"/>
        </w:rPr>
        <w:t>amendments</w:t>
      </w:r>
      <w:r w:rsidR="00FC1842">
        <w:rPr>
          <w:rFonts w:ascii="Arial" w:hAnsi="Arial" w:cs="Arial"/>
          <w:sz w:val="20"/>
        </w:rPr>
        <w:t xml:space="preserve"> to the proposals attached in </w:t>
      </w:r>
      <w:r w:rsidR="004B2D46">
        <w:rPr>
          <w:rFonts w:ascii="Arial" w:hAnsi="Arial" w:cs="Arial"/>
          <w:sz w:val="20"/>
        </w:rPr>
        <w:t>A</w:t>
      </w:r>
      <w:r w:rsidR="00462B86">
        <w:rPr>
          <w:rFonts w:ascii="Arial" w:hAnsi="Arial" w:cs="Arial"/>
          <w:sz w:val="20"/>
        </w:rPr>
        <w:t xml:space="preserve">genda </w:t>
      </w:r>
      <w:r w:rsidR="004B2D46">
        <w:rPr>
          <w:rFonts w:ascii="Arial" w:hAnsi="Arial" w:cs="Arial"/>
          <w:sz w:val="20"/>
        </w:rPr>
        <w:t>I</w:t>
      </w:r>
      <w:r w:rsidR="00D32C59">
        <w:rPr>
          <w:rFonts w:ascii="Arial" w:hAnsi="Arial" w:cs="Arial"/>
          <w:sz w:val="20"/>
        </w:rPr>
        <w:t>tem</w:t>
      </w:r>
      <w:r w:rsidR="00462B86">
        <w:rPr>
          <w:rFonts w:ascii="Arial" w:hAnsi="Arial" w:cs="Arial"/>
          <w:sz w:val="20"/>
        </w:rPr>
        <w:t xml:space="preserve"> </w:t>
      </w:r>
      <w:r w:rsidR="007B6B3A">
        <w:rPr>
          <w:rFonts w:ascii="Arial" w:hAnsi="Arial" w:cs="Arial"/>
          <w:sz w:val="20"/>
        </w:rPr>
        <w:t>A-</w:t>
      </w:r>
      <w:r w:rsidR="00D32C59">
        <w:rPr>
          <w:rFonts w:ascii="Arial" w:hAnsi="Arial" w:cs="Arial"/>
          <w:sz w:val="20"/>
        </w:rPr>
        <w:t>2</w:t>
      </w:r>
      <w:r w:rsidR="00462B86">
        <w:rPr>
          <w:rFonts w:ascii="Arial" w:hAnsi="Arial" w:cs="Arial"/>
          <w:sz w:val="20"/>
        </w:rPr>
        <w:t>.</w:t>
      </w:r>
      <w:r w:rsidR="00FC1842">
        <w:rPr>
          <w:rFonts w:ascii="Arial" w:hAnsi="Arial" w:cs="Arial"/>
          <w:sz w:val="20"/>
        </w:rPr>
        <w:t xml:space="preserve"> These </w:t>
      </w:r>
      <w:r w:rsidR="009804BD">
        <w:rPr>
          <w:rFonts w:ascii="Arial" w:hAnsi="Arial" w:cs="Arial"/>
          <w:sz w:val="20"/>
        </w:rPr>
        <w:t xml:space="preserve">proposals </w:t>
      </w:r>
      <w:r w:rsidR="00FC1842">
        <w:rPr>
          <w:rFonts w:ascii="Arial" w:hAnsi="Arial" w:cs="Arial"/>
          <w:sz w:val="20"/>
        </w:rPr>
        <w:t xml:space="preserve">will be presented </w:t>
      </w:r>
      <w:r w:rsidR="009804BD">
        <w:rPr>
          <w:rFonts w:ascii="Arial" w:hAnsi="Arial" w:cs="Arial"/>
          <w:sz w:val="20"/>
        </w:rPr>
        <w:t>to the Board at its July 2014 meeting</w:t>
      </w:r>
      <w:r w:rsidR="00FC1842">
        <w:rPr>
          <w:rFonts w:ascii="Arial" w:hAnsi="Arial" w:cs="Arial"/>
          <w:sz w:val="20"/>
        </w:rPr>
        <w:t xml:space="preserve">. </w:t>
      </w:r>
    </w:p>
    <w:p w:rsidR="00886B21" w:rsidRPr="00415F24" w:rsidRDefault="00886B21" w:rsidP="004B2D46">
      <w:pPr>
        <w:pStyle w:val="StyleLeft585pt"/>
        <w:spacing w:before="240" w:after="120"/>
        <w:ind w:left="0"/>
        <w:jc w:val="both"/>
        <w:rPr>
          <w:rFonts w:ascii="Arial" w:hAnsi="Arial" w:cs="Arial"/>
          <w:i/>
          <w:sz w:val="20"/>
        </w:rPr>
      </w:pPr>
      <w:r w:rsidRPr="00415F24">
        <w:rPr>
          <w:rFonts w:ascii="Arial" w:hAnsi="Arial" w:cs="Arial"/>
          <w:i/>
          <w:sz w:val="20"/>
        </w:rPr>
        <w:t>National Standard Setters’</w:t>
      </w:r>
      <w:r>
        <w:rPr>
          <w:rFonts w:ascii="Arial" w:hAnsi="Arial" w:cs="Arial"/>
          <w:i/>
          <w:sz w:val="20"/>
        </w:rPr>
        <w:t xml:space="preserve"> (NSS)</w:t>
      </w:r>
      <w:r w:rsidRPr="00415F24">
        <w:rPr>
          <w:rFonts w:ascii="Arial" w:hAnsi="Arial" w:cs="Arial"/>
          <w:i/>
          <w:sz w:val="20"/>
        </w:rPr>
        <w:t xml:space="preserve"> Comments</w:t>
      </w:r>
      <w:r>
        <w:rPr>
          <w:rFonts w:ascii="Arial" w:hAnsi="Arial" w:cs="Arial"/>
          <w:i/>
          <w:sz w:val="20"/>
        </w:rPr>
        <w:t xml:space="preserve"> </w:t>
      </w:r>
    </w:p>
    <w:p w:rsidR="006243CC" w:rsidRDefault="00C02B6A" w:rsidP="008600EA">
      <w:pPr>
        <w:pStyle w:val="StyleLeft585pt"/>
        <w:numPr>
          <w:ilvl w:val="0"/>
          <w:numId w:val="7"/>
        </w:numPr>
        <w:spacing w:before="120" w:after="120"/>
        <w:ind w:left="547" w:hanging="547"/>
        <w:jc w:val="both"/>
        <w:rPr>
          <w:rFonts w:ascii="Arial" w:hAnsi="Arial" w:cs="Arial"/>
          <w:sz w:val="20"/>
        </w:rPr>
      </w:pPr>
      <w:r>
        <w:rPr>
          <w:rFonts w:ascii="Arial" w:hAnsi="Arial" w:cs="Arial"/>
          <w:sz w:val="20"/>
        </w:rPr>
        <w:t>NSS participants were asked whether they supported the proposals for restricting roles and activities related to the audit client during the cooling-off period.</w:t>
      </w:r>
      <w:r w:rsidR="00CB419C">
        <w:rPr>
          <w:rFonts w:ascii="Arial" w:hAnsi="Arial" w:cs="Arial"/>
          <w:sz w:val="20"/>
        </w:rPr>
        <w:t xml:space="preserve"> </w:t>
      </w:r>
      <w:r w:rsidR="00A17915">
        <w:rPr>
          <w:rFonts w:ascii="Arial" w:hAnsi="Arial" w:cs="Arial"/>
          <w:sz w:val="20"/>
        </w:rPr>
        <w:t>Some</w:t>
      </w:r>
      <w:r w:rsidR="00CB419C">
        <w:rPr>
          <w:rFonts w:ascii="Arial" w:hAnsi="Arial" w:cs="Arial"/>
          <w:sz w:val="20"/>
        </w:rPr>
        <w:t xml:space="preserve"> participants expressed the view that there should be no permissible activities </w:t>
      </w:r>
      <w:r w:rsidR="00FC1842">
        <w:rPr>
          <w:rFonts w:ascii="Arial" w:hAnsi="Arial" w:cs="Arial"/>
          <w:sz w:val="20"/>
        </w:rPr>
        <w:t xml:space="preserve">or interaction between the LAEP and the audit client at all </w:t>
      </w:r>
      <w:r w:rsidR="00CB419C">
        <w:rPr>
          <w:rFonts w:ascii="Arial" w:hAnsi="Arial" w:cs="Arial"/>
          <w:sz w:val="20"/>
        </w:rPr>
        <w:t>during the cooling</w:t>
      </w:r>
      <w:r w:rsidR="00FC1842">
        <w:rPr>
          <w:rFonts w:ascii="Arial" w:hAnsi="Arial" w:cs="Arial"/>
          <w:sz w:val="20"/>
        </w:rPr>
        <w:t>-</w:t>
      </w:r>
      <w:r w:rsidR="00CB419C">
        <w:rPr>
          <w:rFonts w:ascii="Arial" w:hAnsi="Arial" w:cs="Arial"/>
          <w:sz w:val="20"/>
        </w:rPr>
        <w:t xml:space="preserve">off period. </w:t>
      </w:r>
    </w:p>
    <w:tbl>
      <w:tblPr>
        <w:tblStyle w:val="TableGrid"/>
        <w:tblW w:w="0" w:type="auto"/>
        <w:tblLook w:val="04A0" w:firstRow="1" w:lastRow="0" w:firstColumn="1" w:lastColumn="0" w:noHBand="0" w:noVBand="1"/>
      </w:tblPr>
      <w:tblGrid>
        <w:gridCol w:w="9936"/>
      </w:tblGrid>
      <w:tr w:rsidR="001A2613" w:rsidRPr="00586E55" w:rsidTr="005017FD">
        <w:tc>
          <w:tcPr>
            <w:tcW w:w="9936" w:type="dxa"/>
          </w:tcPr>
          <w:p w:rsidR="001A2613" w:rsidRPr="00586E55" w:rsidRDefault="001A2613" w:rsidP="005017FD">
            <w:pPr>
              <w:pStyle w:val="Default"/>
              <w:spacing w:before="120" w:after="120" w:line="280" w:lineRule="exact"/>
              <w:jc w:val="both"/>
              <w:rPr>
                <w:color w:val="auto"/>
                <w:sz w:val="20"/>
                <w:szCs w:val="20"/>
              </w:rPr>
            </w:pPr>
            <w:r w:rsidRPr="00586E55">
              <w:rPr>
                <w:b/>
                <w:bCs/>
                <w:color w:val="auto"/>
                <w:sz w:val="20"/>
                <w:szCs w:val="20"/>
              </w:rPr>
              <w:t xml:space="preserve">Matter for </w:t>
            </w:r>
            <w:r>
              <w:rPr>
                <w:b/>
                <w:bCs/>
                <w:color w:val="auto"/>
                <w:sz w:val="20"/>
                <w:szCs w:val="20"/>
              </w:rPr>
              <w:t>Consideration</w:t>
            </w:r>
            <w:r w:rsidRPr="00586E55">
              <w:rPr>
                <w:b/>
                <w:bCs/>
                <w:color w:val="auto"/>
                <w:sz w:val="20"/>
                <w:szCs w:val="20"/>
              </w:rPr>
              <w:t xml:space="preserve"> </w:t>
            </w:r>
          </w:p>
          <w:p w:rsidR="001A2613" w:rsidRPr="00C540E6" w:rsidRDefault="001A2613" w:rsidP="00886B21">
            <w:pPr>
              <w:pStyle w:val="Indent"/>
              <w:widowControl w:val="0"/>
              <w:numPr>
                <w:ilvl w:val="0"/>
                <w:numId w:val="3"/>
              </w:numPr>
              <w:tabs>
                <w:tab w:val="clear" w:pos="960"/>
              </w:tabs>
              <w:spacing w:before="120" w:after="120"/>
              <w:ind w:left="540" w:hanging="540"/>
              <w:rPr>
                <w:rFonts w:ascii="Arial" w:hAnsi="Arial" w:cs="Arial"/>
                <w:sz w:val="20"/>
                <w:szCs w:val="20"/>
              </w:rPr>
            </w:pPr>
            <w:r>
              <w:rPr>
                <w:rFonts w:ascii="Arial" w:hAnsi="Arial" w:cs="Arial"/>
                <w:sz w:val="20"/>
                <w:szCs w:val="20"/>
              </w:rPr>
              <w:t xml:space="preserve">Do CAG representatives support the </w:t>
            </w:r>
            <w:r w:rsidR="00FC1842">
              <w:rPr>
                <w:rFonts w:ascii="Arial" w:hAnsi="Arial" w:cs="Arial"/>
                <w:sz w:val="20"/>
                <w:szCs w:val="20"/>
              </w:rPr>
              <w:t xml:space="preserve">revised </w:t>
            </w:r>
            <w:r>
              <w:rPr>
                <w:rFonts w:ascii="Arial" w:hAnsi="Arial" w:cs="Arial"/>
                <w:sz w:val="20"/>
                <w:szCs w:val="20"/>
              </w:rPr>
              <w:t>proposal</w:t>
            </w:r>
            <w:r w:rsidR="00FC1842">
              <w:rPr>
                <w:rFonts w:ascii="Arial" w:hAnsi="Arial" w:cs="Arial"/>
                <w:sz w:val="20"/>
                <w:szCs w:val="20"/>
              </w:rPr>
              <w:t>s</w:t>
            </w:r>
            <w:r>
              <w:rPr>
                <w:rFonts w:ascii="Arial" w:hAnsi="Arial" w:cs="Arial"/>
                <w:sz w:val="20"/>
                <w:szCs w:val="20"/>
              </w:rPr>
              <w:t xml:space="preserve"> </w:t>
            </w:r>
            <w:r w:rsidR="00886B21">
              <w:rPr>
                <w:rFonts w:ascii="Arial" w:hAnsi="Arial" w:cs="Arial"/>
                <w:sz w:val="20"/>
                <w:szCs w:val="20"/>
              </w:rPr>
              <w:t>describing</w:t>
            </w:r>
            <w:r w:rsidR="00FC1842">
              <w:rPr>
                <w:rFonts w:ascii="Arial" w:hAnsi="Arial" w:cs="Arial"/>
                <w:sz w:val="20"/>
                <w:szCs w:val="20"/>
              </w:rPr>
              <w:t xml:space="preserve"> the </w:t>
            </w:r>
            <w:r>
              <w:rPr>
                <w:rFonts w:ascii="Arial" w:hAnsi="Arial" w:cs="Arial"/>
                <w:sz w:val="20"/>
                <w:szCs w:val="20"/>
              </w:rPr>
              <w:t xml:space="preserve">roles and activities related to the audit client </w:t>
            </w:r>
            <w:r w:rsidR="00886B21">
              <w:rPr>
                <w:rFonts w:ascii="Arial" w:hAnsi="Arial" w:cs="Arial"/>
                <w:sz w:val="20"/>
                <w:szCs w:val="20"/>
              </w:rPr>
              <w:t xml:space="preserve">that can and cannot be undertaken </w:t>
            </w:r>
            <w:r>
              <w:rPr>
                <w:rFonts w:ascii="Arial" w:hAnsi="Arial" w:cs="Arial"/>
                <w:sz w:val="20"/>
                <w:szCs w:val="20"/>
              </w:rPr>
              <w:t>during the cooling-off period?</w:t>
            </w:r>
          </w:p>
        </w:tc>
      </w:tr>
    </w:tbl>
    <w:p w:rsidR="004B23E3" w:rsidRPr="004B23E3" w:rsidRDefault="004B23E3" w:rsidP="00B13487">
      <w:pPr>
        <w:keepNext/>
        <w:numPr>
          <w:ilvl w:val="0"/>
          <w:numId w:val="30"/>
        </w:numPr>
        <w:spacing w:before="240" w:after="120" w:line="280" w:lineRule="exact"/>
        <w:ind w:left="547" w:hanging="547"/>
        <w:rPr>
          <w:rFonts w:ascii="Arial" w:eastAsia="Calibri" w:hAnsi="Arial" w:cs="Arial"/>
          <w:smallCaps/>
          <w:sz w:val="20"/>
          <w:szCs w:val="20"/>
        </w:rPr>
      </w:pPr>
      <w:r>
        <w:rPr>
          <w:rFonts w:ascii="Arial" w:eastAsia="Calibri" w:hAnsi="Arial" w:cs="Arial"/>
          <w:smallCaps/>
          <w:sz w:val="20"/>
          <w:szCs w:val="20"/>
        </w:rPr>
        <w:t>Corresponding Changes To</w:t>
      </w:r>
      <w:r w:rsidR="00405CF0">
        <w:rPr>
          <w:rFonts w:ascii="Arial" w:eastAsia="Calibri" w:hAnsi="Arial" w:cs="Arial"/>
          <w:smallCaps/>
          <w:sz w:val="20"/>
          <w:szCs w:val="20"/>
        </w:rPr>
        <w:t xml:space="preserve"> Section 291.139</w:t>
      </w:r>
    </w:p>
    <w:p w:rsidR="00E04406" w:rsidRDefault="00E04406" w:rsidP="008600EA">
      <w:pPr>
        <w:pStyle w:val="StyleLeft585pt"/>
        <w:numPr>
          <w:ilvl w:val="0"/>
          <w:numId w:val="7"/>
        </w:numPr>
        <w:spacing w:before="120" w:after="120"/>
        <w:ind w:left="547" w:hanging="547"/>
        <w:jc w:val="both"/>
        <w:rPr>
          <w:rFonts w:ascii="Arial" w:hAnsi="Arial" w:cs="Arial"/>
          <w:sz w:val="20"/>
        </w:rPr>
      </w:pPr>
      <w:r>
        <w:rPr>
          <w:rFonts w:ascii="Arial" w:hAnsi="Arial" w:cs="Arial"/>
          <w:sz w:val="20"/>
        </w:rPr>
        <w:t>The IESBA has made corresponding changes to Section 291</w:t>
      </w:r>
      <w:r w:rsidR="00405CF0">
        <w:rPr>
          <w:rFonts w:ascii="Arial" w:hAnsi="Arial" w:cs="Arial"/>
          <w:sz w:val="20"/>
        </w:rPr>
        <w:t>.139</w:t>
      </w:r>
      <w:r>
        <w:rPr>
          <w:rFonts w:ascii="Arial" w:hAnsi="Arial" w:cs="Arial"/>
          <w:sz w:val="20"/>
        </w:rPr>
        <w:t xml:space="preserve"> which concerns independence for other assurance engagements</w:t>
      </w:r>
      <w:r w:rsidR="00074A17">
        <w:rPr>
          <w:rFonts w:ascii="Arial" w:hAnsi="Arial" w:cs="Arial"/>
          <w:sz w:val="20"/>
        </w:rPr>
        <w:t>. In response to comments at the April Teleconference regarding the nature of assurance engagements, the TF has recommended adding wording to set out that familiarity and self-interest threats may</w:t>
      </w:r>
      <w:r w:rsidR="0074156E">
        <w:rPr>
          <w:rFonts w:ascii="Arial" w:hAnsi="Arial" w:cs="Arial"/>
          <w:sz w:val="20"/>
        </w:rPr>
        <w:t xml:space="preserve"> </w:t>
      </w:r>
      <w:r w:rsidR="00074A17">
        <w:rPr>
          <w:rFonts w:ascii="Arial" w:hAnsi="Arial" w:cs="Arial"/>
          <w:sz w:val="20"/>
        </w:rPr>
        <w:t>be created with respect to assurance engagements of a “recurring nature</w:t>
      </w:r>
      <w:r w:rsidR="00B15CB1">
        <w:rPr>
          <w:rFonts w:ascii="Arial" w:hAnsi="Arial" w:cs="Arial"/>
          <w:sz w:val="20"/>
        </w:rPr>
        <w:t>.</w:t>
      </w:r>
      <w:r w:rsidR="00074A17">
        <w:rPr>
          <w:rFonts w:ascii="Arial" w:hAnsi="Arial" w:cs="Arial"/>
          <w:sz w:val="20"/>
        </w:rPr>
        <w:t xml:space="preserve">” </w:t>
      </w:r>
      <w:r w:rsidR="0074156E">
        <w:rPr>
          <w:rFonts w:ascii="Arial" w:hAnsi="Arial" w:cs="Arial"/>
          <w:sz w:val="20"/>
        </w:rPr>
        <w:t>This wording is</w:t>
      </w:r>
      <w:r>
        <w:rPr>
          <w:rFonts w:ascii="Arial" w:hAnsi="Arial" w:cs="Arial"/>
          <w:sz w:val="20"/>
        </w:rPr>
        <w:t xml:space="preserve"> included in Agenda Item</w:t>
      </w:r>
      <w:r w:rsidR="004B23E3">
        <w:rPr>
          <w:rFonts w:ascii="Arial" w:hAnsi="Arial" w:cs="Arial"/>
          <w:sz w:val="20"/>
        </w:rPr>
        <w:t xml:space="preserve"> </w:t>
      </w:r>
      <w:r w:rsidR="00114DA4">
        <w:rPr>
          <w:rFonts w:ascii="Arial" w:hAnsi="Arial" w:cs="Arial"/>
          <w:sz w:val="20"/>
        </w:rPr>
        <w:t>A</w:t>
      </w:r>
      <w:r w:rsidR="0074156E">
        <w:rPr>
          <w:rFonts w:ascii="Arial" w:hAnsi="Arial" w:cs="Arial"/>
          <w:sz w:val="20"/>
        </w:rPr>
        <w:t>-4</w:t>
      </w:r>
      <w:r w:rsidR="004B23E3">
        <w:rPr>
          <w:rFonts w:ascii="Arial" w:hAnsi="Arial" w:cs="Arial"/>
          <w:sz w:val="20"/>
        </w:rPr>
        <w:t>.</w:t>
      </w:r>
    </w:p>
    <w:tbl>
      <w:tblPr>
        <w:tblStyle w:val="TableGrid"/>
        <w:tblW w:w="0" w:type="auto"/>
        <w:tblLook w:val="04A0" w:firstRow="1" w:lastRow="0" w:firstColumn="1" w:lastColumn="0" w:noHBand="0" w:noVBand="1"/>
      </w:tblPr>
      <w:tblGrid>
        <w:gridCol w:w="9936"/>
      </w:tblGrid>
      <w:tr w:rsidR="002E64B5" w:rsidRPr="00586E55" w:rsidTr="00FB6AF2">
        <w:trPr>
          <w:trHeight w:val="1007"/>
        </w:trPr>
        <w:tc>
          <w:tcPr>
            <w:tcW w:w="9936" w:type="dxa"/>
          </w:tcPr>
          <w:p w:rsidR="002E64B5" w:rsidRPr="00586E55" w:rsidRDefault="002E64B5" w:rsidP="00A716FE">
            <w:pPr>
              <w:pStyle w:val="Default"/>
              <w:spacing w:before="120" w:after="120" w:line="280" w:lineRule="exact"/>
              <w:jc w:val="both"/>
              <w:rPr>
                <w:color w:val="auto"/>
                <w:sz w:val="20"/>
                <w:szCs w:val="20"/>
              </w:rPr>
            </w:pPr>
            <w:r w:rsidRPr="00586E55">
              <w:rPr>
                <w:b/>
                <w:bCs/>
                <w:color w:val="auto"/>
                <w:sz w:val="20"/>
                <w:szCs w:val="20"/>
              </w:rPr>
              <w:t xml:space="preserve">Matter for </w:t>
            </w:r>
            <w:r>
              <w:rPr>
                <w:b/>
                <w:bCs/>
                <w:color w:val="auto"/>
                <w:sz w:val="20"/>
                <w:szCs w:val="20"/>
              </w:rPr>
              <w:t>Consideration</w:t>
            </w:r>
            <w:r w:rsidRPr="00586E55">
              <w:rPr>
                <w:b/>
                <w:bCs/>
                <w:color w:val="auto"/>
                <w:sz w:val="20"/>
                <w:szCs w:val="20"/>
              </w:rPr>
              <w:t xml:space="preserve"> </w:t>
            </w:r>
          </w:p>
          <w:p w:rsidR="002E64B5" w:rsidRPr="00C540E6" w:rsidRDefault="002E64B5" w:rsidP="004B2D46">
            <w:pPr>
              <w:pStyle w:val="Indent"/>
              <w:widowControl w:val="0"/>
              <w:numPr>
                <w:ilvl w:val="0"/>
                <w:numId w:val="3"/>
              </w:numPr>
              <w:tabs>
                <w:tab w:val="clear" w:pos="960"/>
              </w:tabs>
              <w:spacing w:before="120" w:after="120"/>
              <w:ind w:left="540" w:hanging="540"/>
              <w:rPr>
                <w:rFonts w:ascii="Arial" w:hAnsi="Arial" w:cs="Arial"/>
                <w:sz w:val="20"/>
                <w:szCs w:val="20"/>
              </w:rPr>
            </w:pPr>
            <w:r>
              <w:rPr>
                <w:rFonts w:ascii="Arial" w:hAnsi="Arial" w:cs="Arial"/>
                <w:sz w:val="20"/>
                <w:szCs w:val="20"/>
              </w:rPr>
              <w:t xml:space="preserve">Do CAG </w:t>
            </w:r>
            <w:r w:rsidR="004B2D46">
              <w:rPr>
                <w:rFonts w:ascii="Arial" w:hAnsi="Arial" w:cs="Arial"/>
                <w:sz w:val="20"/>
                <w:szCs w:val="20"/>
              </w:rPr>
              <w:t>R</w:t>
            </w:r>
            <w:r>
              <w:rPr>
                <w:rFonts w:ascii="Arial" w:hAnsi="Arial" w:cs="Arial"/>
                <w:sz w:val="20"/>
                <w:szCs w:val="20"/>
              </w:rPr>
              <w:t>epresentatives have any comments or suggestions on the corresponding changes to Section 291?</w:t>
            </w:r>
          </w:p>
        </w:tc>
      </w:tr>
    </w:tbl>
    <w:p w:rsidR="00831900" w:rsidRPr="001A4E2E" w:rsidRDefault="00831900" w:rsidP="00961D7A">
      <w:pPr>
        <w:pStyle w:val="ListParagraph"/>
        <w:keepNext/>
        <w:spacing w:before="240" w:after="120" w:line="280" w:lineRule="exact"/>
        <w:ind w:left="0"/>
        <w:jc w:val="both"/>
        <w:rPr>
          <w:rFonts w:ascii="Arial" w:hAnsi="Arial" w:cs="Arial"/>
          <w:smallCaps/>
          <w:sz w:val="20"/>
          <w:szCs w:val="20"/>
        </w:rPr>
      </w:pPr>
    </w:p>
    <w:sectPr w:rsidR="00831900" w:rsidRPr="001A4E2E" w:rsidSect="00503F9F">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080" w:header="720" w:footer="108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E76" w:rsidRDefault="00112E76">
      <w:r>
        <w:separator/>
      </w:r>
    </w:p>
  </w:endnote>
  <w:endnote w:type="continuationSeparator" w:id="0">
    <w:p w:rsidR="00112E76" w:rsidRDefault="00112E76">
      <w:r>
        <w:continuationSeparator/>
      </w:r>
    </w:p>
  </w:endnote>
  <w:endnote w:type="continuationNotice" w:id="1">
    <w:p w:rsidR="00112E76" w:rsidRDefault="00112E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842" w:rsidRDefault="00A648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0D2" w:rsidRPr="00AC561B" w:rsidRDefault="007C60D2" w:rsidP="000F77F3">
    <w:pPr>
      <w:pStyle w:val="Footer"/>
      <w:spacing w:line="240" w:lineRule="exact"/>
      <w:jc w:val="center"/>
      <w:rPr>
        <w:rFonts w:ascii="Arial" w:hAnsi="Arial" w:cs="Arial"/>
        <w:sz w:val="16"/>
        <w:szCs w:val="16"/>
      </w:rPr>
    </w:pPr>
    <w:r>
      <w:rPr>
        <w:rFonts w:ascii="Arial" w:hAnsi="Arial" w:cs="Arial"/>
        <w:sz w:val="16"/>
        <w:szCs w:val="16"/>
      </w:rPr>
      <w:t>Agenda Item</w:t>
    </w:r>
    <w:r w:rsidR="00A64842">
      <w:rPr>
        <w:rFonts w:ascii="Arial" w:hAnsi="Arial" w:cs="Arial"/>
        <w:sz w:val="16"/>
        <w:szCs w:val="16"/>
      </w:rPr>
      <w:t xml:space="preserve"> A-</w:t>
    </w:r>
    <w:r w:rsidR="004E4850">
      <w:rPr>
        <w:rFonts w:ascii="Arial" w:hAnsi="Arial" w:cs="Arial"/>
        <w:sz w:val="16"/>
        <w:szCs w:val="16"/>
      </w:rPr>
      <w:t>1</w:t>
    </w:r>
  </w:p>
  <w:p w:rsidR="007C60D2" w:rsidRDefault="007C60D2" w:rsidP="00EB096D">
    <w:pPr>
      <w:pStyle w:val="Footer"/>
      <w:spacing w:line="240" w:lineRule="exact"/>
      <w:jc w:val="center"/>
    </w:pPr>
    <w:r w:rsidRPr="00AC561B">
      <w:rPr>
        <w:rFonts w:ascii="Arial" w:hAnsi="Arial" w:cs="Arial"/>
        <w:sz w:val="16"/>
        <w:szCs w:val="16"/>
      </w:rPr>
      <w:t xml:space="preserve">Page </w:t>
    </w:r>
    <w:r w:rsidRPr="00AC561B">
      <w:rPr>
        <w:rFonts w:ascii="Arial" w:hAnsi="Arial" w:cs="Arial"/>
        <w:bCs/>
        <w:sz w:val="16"/>
        <w:szCs w:val="16"/>
      </w:rPr>
      <w:fldChar w:fldCharType="begin"/>
    </w:r>
    <w:r w:rsidRPr="00AC561B">
      <w:rPr>
        <w:rFonts w:ascii="Arial" w:hAnsi="Arial" w:cs="Arial"/>
        <w:bCs/>
        <w:sz w:val="16"/>
        <w:szCs w:val="16"/>
      </w:rPr>
      <w:instrText xml:space="preserve"> PAGE </w:instrText>
    </w:r>
    <w:r w:rsidRPr="00AC561B">
      <w:rPr>
        <w:rFonts w:ascii="Arial" w:hAnsi="Arial" w:cs="Arial"/>
        <w:bCs/>
        <w:sz w:val="16"/>
        <w:szCs w:val="16"/>
      </w:rPr>
      <w:fldChar w:fldCharType="separate"/>
    </w:r>
    <w:r w:rsidR="002B0C9C">
      <w:rPr>
        <w:rFonts w:ascii="Arial" w:hAnsi="Arial" w:cs="Arial"/>
        <w:bCs/>
        <w:noProof/>
        <w:sz w:val="16"/>
        <w:szCs w:val="16"/>
      </w:rPr>
      <w:t>5</w:t>
    </w:r>
    <w:r w:rsidRPr="00AC561B">
      <w:rPr>
        <w:rFonts w:ascii="Arial" w:hAnsi="Arial" w:cs="Arial"/>
        <w:bCs/>
        <w:sz w:val="16"/>
        <w:szCs w:val="16"/>
      </w:rPr>
      <w:fldChar w:fldCharType="end"/>
    </w:r>
    <w:r w:rsidRPr="00AC561B">
      <w:rPr>
        <w:rFonts w:ascii="Arial" w:hAnsi="Arial" w:cs="Arial"/>
        <w:sz w:val="16"/>
        <w:szCs w:val="16"/>
      </w:rPr>
      <w:t xml:space="preserve"> of </w:t>
    </w:r>
    <w:r w:rsidRPr="00AC561B">
      <w:rPr>
        <w:rFonts w:ascii="Arial" w:hAnsi="Arial" w:cs="Arial"/>
        <w:bCs/>
        <w:sz w:val="16"/>
        <w:szCs w:val="16"/>
      </w:rPr>
      <w:fldChar w:fldCharType="begin"/>
    </w:r>
    <w:r w:rsidRPr="00AC561B">
      <w:rPr>
        <w:rFonts w:ascii="Arial" w:hAnsi="Arial" w:cs="Arial"/>
        <w:bCs/>
        <w:sz w:val="16"/>
        <w:szCs w:val="16"/>
      </w:rPr>
      <w:instrText xml:space="preserve"> NUMPAGES  </w:instrText>
    </w:r>
    <w:r w:rsidRPr="00AC561B">
      <w:rPr>
        <w:rFonts w:ascii="Arial" w:hAnsi="Arial" w:cs="Arial"/>
        <w:bCs/>
        <w:sz w:val="16"/>
        <w:szCs w:val="16"/>
      </w:rPr>
      <w:fldChar w:fldCharType="separate"/>
    </w:r>
    <w:r w:rsidR="002B0C9C">
      <w:rPr>
        <w:rFonts w:ascii="Arial" w:hAnsi="Arial" w:cs="Arial"/>
        <w:bCs/>
        <w:noProof/>
        <w:sz w:val="16"/>
        <w:szCs w:val="16"/>
      </w:rPr>
      <w:t>7</w:t>
    </w:r>
    <w:r w:rsidRPr="00AC561B">
      <w:rPr>
        <w:rFonts w:ascii="Arial" w:hAnsi="Arial" w:cs="Arial"/>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0D2" w:rsidRPr="000F77F3" w:rsidRDefault="007C60D2" w:rsidP="00EB096D">
    <w:pPr>
      <w:pStyle w:val="Footer"/>
      <w:tabs>
        <w:tab w:val="clear" w:pos="4320"/>
        <w:tab w:val="clear" w:pos="8640"/>
        <w:tab w:val="right" w:pos="9720"/>
      </w:tabs>
      <w:spacing w:line="240" w:lineRule="exact"/>
    </w:pPr>
    <w:r w:rsidRPr="0022575A">
      <w:rPr>
        <w:rFonts w:ascii="Arial" w:hAnsi="Arial" w:cs="Arial"/>
        <w:i/>
        <w:sz w:val="16"/>
        <w:szCs w:val="16"/>
      </w:rPr>
      <w:t>Prepared by</w:t>
    </w:r>
    <w:r w:rsidRPr="0022575A">
      <w:rPr>
        <w:rFonts w:ascii="Arial" w:hAnsi="Arial" w:cs="Arial"/>
        <w:sz w:val="16"/>
        <w:szCs w:val="16"/>
      </w:rPr>
      <w:t xml:space="preserve">: </w:t>
    </w:r>
    <w:r w:rsidR="00E0153B">
      <w:rPr>
        <w:rFonts w:ascii="Arial" w:hAnsi="Arial" w:cs="Arial"/>
        <w:sz w:val="16"/>
        <w:szCs w:val="16"/>
      </w:rPr>
      <w:t>Elizabeth Higgs</w:t>
    </w:r>
    <w:r w:rsidRPr="0022575A">
      <w:rPr>
        <w:rFonts w:ascii="Arial" w:hAnsi="Arial" w:cs="Arial"/>
        <w:sz w:val="16"/>
        <w:szCs w:val="16"/>
      </w:rPr>
      <w:t xml:space="preserve"> (</w:t>
    </w:r>
    <w:r w:rsidR="004E4850">
      <w:rPr>
        <w:rFonts w:ascii="Arial" w:hAnsi="Arial" w:cs="Arial"/>
        <w:sz w:val="16"/>
        <w:szCs w:val="16"/>
      </w:rPr>
      <w:t>June</w:t>
    </w:r>
    <w:r>
      <w:rPr>
        <w:rFonts w:ascii="Arial" w:hAnsi="Arial" w:cs="Arial"/>
        <w:sz w:val="16"/>
        <w:szCs w:val="16"/>
      </w:rPr>
      <w:t xml:space="preserve"> 2014</w:t>
    </w:r>
    <w:r w:rsidRPr="0022575A">
      <w:rPr>
        <w:rFonts w:ascii="Arial" w:hAnsi="Arial" w:cs="Arial"/>
        <w:sz w:val="16"/>
        <w:szCs w:val="16"/>
      </w:rPr>
      <w:t>)</w:t>
    </w:r>
    <w:r w:rsidRPr="009601DA">
      <w:rPr>
        <w:i/>
        <w:sz w:val="20"/>
        <w:szCs w:val="20"/>
      </w:rPr>
      <w:tab/>
    </w:r>
    <w:r w:rsidRPr="0022575A">
      <w:rPr>
        <w:rFonts w:ascii="Arial" w:hAnsi="Arial" w:cs="Arial"/>
        <w:sz w:val="16"/>
        <w:szCs w:val="16"/>
      </w:rPr>
      <w:t xml:space="preserve">Page </w:t>
    </w:r>
    <w:r w:rsidRPr="0022575A">
      <w:rPr>
        <w:rFonts w:ascii="Arial" w:hAnsi="Arial" w:cs="Arial"/>
        <w:bCs/>
        <w:sz w:val="16"/>
        <w:szCs w:val="16"/>
      </w:rPr>
      <w:fldChar w:fldCharType="begin"/>
    </w:r>
    <w:r w:rsidRPr="0022575A">
      <w:rPr>
        <w:rFonts w:ascii="Arial" w:hAnsi="Arial" w:cs="Arial"/>
        <w:bCs/>
        <w:sz w:val="16"/>
        <w:szCs w:val="16"/>
      </w:rPr>
      <w:instrText xml:space="preserve"> PAGE </w:instrText>
    </w:r>
    <w:r w:rsidRPr="0022575A">
      <w:rPr>
        <w:rFonts w:ascii="Arial" w:hAnsi="Arial" w:cs="Arial"/>
        <w:bCs/>
        <w:sz w:val="16"/>
        <w:szCs w:val="16"/>
      </w:rPr>
      <w:fldChar w:fldCharType="separate"/>
    </w:r>
    <w:r w:rsidR="003F3D1D">
      <w:rPr>
        <w:rFonts w:ascii="Arial" w:hAnsi="Arial" w:cs="Arial"/>
        <w:bCs/>
        <w:noProof/>
        <w:sz w:val="16"/>
        <w:szCs w:val="16"/>
      </w:rPr>
      <w:t>1</w:t>
    </w:r>
    <w:r w:rsidRPr="0022575A">
      <w:rPr>
        <w:rFonts w:ascii="Arial" w:hAnsi="Arial" w:cs="Arial"/>
        <w:bCs/>
        <w:sz w:val="16"/>
        <w:szCs w:val="16"/>
      </w:rPr>
      <w:fldChar w:fldCharType="end"/>
    </w:r>
    <w:r w:rsidRPr="0022575A">
      <w:rPr>
        <w:rFonts w:ascii="Arial" w:hAnsi="Arial" w:cs="Arial"/>
        <w:sz w:val="16"/>
        <w:szCs w:val="16"/>
      </w:rPr>
      <w:t xml:space="preserve"> of </w:t>
    </w:r>
    <w:r w:rsidRPr="0022575A">
      <w:rPr>
        <w:rFonts w:ascii="Arial" w:hAnsi="Arial" w:cs="Arial"/>
        <w:bCs/>
        <w:sz w:val="16"/>
        <w:szCs w:val="16"/>
      </w:rPr>
      <w:fldChar w:fldCharType="begin"/>
    </w:r>
    <w:r w:rsidRPr="0022575A">
      <w:rPr>
        <w:rFonts w:ascii="Arial" w:hAnsi="Arial" w:cs="Arial"/>
        <w:bCs/>
        <w:sz w:val="16"/>
        <w:szCs w:val="16"/>
      </w:rPr>
      <w:instrText xml:space="preserve"> NUMPAGES  </w:instrText>
    </w:r>
    <w:r w:rsidRPr="0022575A">
      <w:rPr>
        <w:rFonts w:ascii="Arial" w:hAnsi="Arial" w:cs="Arial"/>
        <w:bCs/>
        <w:sz w:val="16"/>
        <w:szCs w:val="16"/>
      </w:rPr>
      <w:fldChar w:fldCharType="separate"/>
    </w:r>
    <w:r w:rsidR="003F3D1D">
      <w:rPr>
        <w:rFonts w:ascii="Arial" w:hAnsi="Arial" w:cs="Arial"/>
        <w:bCs/>
        <w:noProof/>
        <w:sz w:val="16"/>
        <w:szCs w:val="16"/>
      </w:rPr>
      <w:t>7</w:t>
    </w:r>
    <w:r w:rsidRPr="0022575A">
      <w:rPr>
        <w:rFonts w:ascii="Arial" w:hAnsi="Arial"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E76" w:rsidRDefault="00112E76">
      <w:r>
        <w:separator/>
      </w:r>
    </w:p>
  </w:footnote>
  <w:footnote w:type="continuationSeparator" w:id="0">
    <w:p w:rsidR="00112E76" w:rsidRDefault="00112E76">
      <w:r>
        <w:continuationSeparator/>
      </w:r>
    </w:p>
  </w:footnote>
  <w:footnote w:type="continuationNotice" w:id="1">
    <w:p w:rsidR="00112E76" w:rsidRDefault="00112E76"/>
  </w:footnote>
  <w:footnote w:id="2">
    <w:p w:rsidR="006D7DAA" w:rsidRPr="009337E8" w:rsidRDefault="006D7DAA" w:rsidP="009337E8">
      <w:pPr>
        <w:pStyle w:val="FootnoteText"/>
        <w:tabs>
          <w:tab w:val="clear" w:pos="480"/>
        </w:tabs>
        <w:spacing w:after="60"/>
        <w:ind w:left="360" w:hanging="360"/>
        <w:rPr>
          <w:rFonts w:ascii="Arial" w:hAnsi="Arial" w:cs="Arial"/>
          <w:sz w:val="16"/>
          <w:szCs w:val="16"/>
        </w:rPr>
      </w:pPr>
      <w:r w:rsidRPr="009337E8">
        <w:rPr>
          <w:rStyle w:val="FootnoteReference"/>
          <w:rFonts w:ascii="Arial" w:hAnsi="Arial" w:cs="Arial"/>
          <w:sz w:val="16"/>
          <w:szCs w:val="16"/>
        </w:rPr>
        <w:footnoteRef/>
      </w:r>
      <w:r w:rsidRPr="009337E8">
        <w:rPr>
          <w:rFonts w:ascii="Arial" w:hAnsi="Arial" w:cs="Arial"/>
          <w:sz w:val="16"/>
          <w:szCs w:val="16"/>
        </w:rPr>
        <w:t xml:space="preserve"> </w:t>
      </w:r>
      <w:r w:rsidR="009337E8">
        <w:rPr>
          <w:rFonts w:ascii="Arial" w:hAnsi="Arial" w:cs="Arial"/>
          <w:sz w:val="16"/>
          <w:szCs w:val="16"/>
        </w:rPr>
        <w:tab/>
      </w:r>
      <w:r w:rsidR="00F245E7">
        <w:rPr>
          <w:rFonts w:ascii="Arial" w:hAnsi="Arial" w:cs="Arial"/>
          <w:sz w:val="16"/>
          <w:szCs w:val="16"/>
        </w:rPr>
        <w:t xml:space="preserve">Section 290, </w:t>
      </w:r>
      <w:r w:rsidR="000C0F9D" w:rsidRPr="00F245E7">
        <w:rPr>
          <w:rFonts w:ascii="Arial" w:hAnsi="Arial" w:cs="Arial"/>
          <w:i/>
          <w:sz w:val="16"/>
          <w:szCs w:val="16"/>
        </w:rPr>
        <w:t>Inde</w:t>
      </w:r>
      <w:r w:rsidR="007B31BD" w:rsidRPr="00F245E7">
        <w:rPr>
          <w:rFonts w:ascii="Arial" w:hAnsi="Arial" w:cs="Arial"/>
          <w:i/>
          <w:sz w:val="16"/>
          <w:szCs w:val="16"/>
        </w:rPr>
        <w:t>pendence – Audit and Review Engagements</w:t>
      </w:r>
    </w:p>
  </w:footnote>
  <w:footnote w:id="3">
    <w:p w:rsidR="00405CF0" w:rsidRPr="00F245E7" w:rsidRDefault="00405CF0" w:rsidP="00F245E7">
      <w:pPr>
        <w:pStyle w:val="FootnoteText"/>
        <w:tabs>
          <w:tab w:val="clear" w:pos="480"/>
        </w:tabs>
        <w:spacing w:after="60"/>
        <w:ind w:left="360" w:hanging="360"/>
        <w:rPr>
          <w:rFonts w:ascii="Arial" w:hAnsi="Arial" w:cs="Arial"/>
          <w:sz w:val="16"/>
          <w:szCs w:val="16"/>
        </w:rPr>
      </w:pPr>
      <w:r w:rsidRPr="00F245E7">
        <w:rPr>
          <w:rStyle w:val="FootnoteReference"/>
          <w:rFonts w:ascii="Arial" w:hAnsi="Arial" w:cs="Arial"/>
          <w:sz w:val="16"/>
          <w:szCs w:val="16"/>
        </w:rPr>
        <w:footnoteRef/>
      </w:r>
      <w:r w:rsidR="00F245E7">
        <w:rPr>
          <w:rFonts w:ascii="Arial" w:hAnsi="Arial" w:cs="Arial"/>
          <w:sz w:val="16"/>
          <w:szCs w:val="16"/>
        </w:rPr>
        <w:tab/>
      </w:r>
      <w:r w:rsidR="00F245E7" w:rsidRPr="00F245E7">
        <w:rPr>
          <w:rFonts w:ascii="Arial" w:hAnsi="Arial" w:cs="Arial"/>
          <w:sz w:val="16"/>
          <w:szCs w:val="16"/>
        </w:rPr>
        <w:t xml:space="preserve">Section 291, </w:t>
      </w:r>
      <w:r w:rsidR="007B31BD" w:rsidRPr="00F245E7">
        <w:rPr>
          <w:rFonts w:ascii="Arial" w:hAnsi="Arial" w:cs="Arial"/>
          <w:i/>
          <w:sz w:val="16"/>
          <w:szCs w:val="16"/>
        </w:rPr>
        <w:t>Independence – Other Assurance Engagements</w:t>
      </w:r>
    </w:p>
  </w:footnote>
  <w:footnote w:id="4">
    <w:p w:rsidR="000916B6" w:rsidRDefault="000916B6">
      <w:pPr>
        <w:pStyle w:val="FootnoteText"/>
      </w:pPr>
      <w:r>
        <w:rPr>
          <w:rStyle w:val="FootnoteReference"/>
        </w:rPr>
        <w:footnoteRef/>
      </w:r>
      <w:r>
        <w:t xml:space="preserve"> </w:t>
      </w:r>
      <w:r w:rsidR="0074156E">
        <w:t xml:space="preserve">ISQC1 </w:t>
      </w:r>
      <w:r w:rsidR="00164650">
        <w:t>International Standard on Quality Control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842" w:rsidRDefault="00A648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0D2" w:rsidRPr="00AC561B" w:rsidRDefault="007C60D2" w:rsidP="000F77F3">
    <w:pPr>
      <w:pStyle w:val="Header"/>
      <w:tabs>
        <w:tab w:val="center" w:pos="4534"/>
        <w:tab w:val="right" w:pos="9067"/>
      </w:tabs>
      <w:spacing w:line="240" w:lineRule="exact"/>
      <w:jc w:val="center"/>
      <w:rPr>
        <w:rFonts w:ascii="Arial" w:hAnsi="Arial" w:cs="Arial"/>
        <w:kern w:val="8"/>
        <w:sz w:val="16"/>
        <w:szCs w:val="16"/>
        <w:lang w:bidi="he-IL"/>
      </w:rPr>
    </w:pPr>
    <w:r>
      <w:rPr>
        <w:rFonts w:ascii="Arial" w:hAnsi="Arial" w:cs="Arial"/>
        <w:kern w:val="8"/>
        <w:sz w:val="16"/>
        <w:szCs w:val="16"/>
        <w:lang w:bidi="he-IL"/>
      </w:rPr>
      <w:t>Long Association – Issues Paper</w:t>
    </w:r>
  </w:p>
  <w:p w:rsidR="007C60D2" w:rsidRPr="00AC561B" w:rsidRDefault="007C60D2" w:rsidP="000F77F3">
    <w:pPr>
      <w:pStyle w:val="Header"/>
      <w:tabs>
        <w:tab w:val="center" w:pos="4534"/>
        <w:tab w:val="right" w:pos="9067"/>
      </w:tabs>
      <w:spacing w:line="240" w:lineRule="exact"/>
      <w:jc w:val="center"/>
      <w:rPr>
        <w:rFonts w:ascii="Arial" w:hAnsi="Arial" w:cs="Arial"/>
        <w:i/>
        <w:kern w:val="8"/>
        <w:sz w:val="16"/>
        <w:szCs w:val="16"/>
        <w:lang w:bidi="he-IL"/>
      </w:rPr>
    </w:pPr>
    <w:r>
      <w:rPr>
        <w:rFonts w:ascii="Arial" w:hAnsi="Arial" w:cs="Arial"/>
        <w:i/>
        <w:kern w:val="8"/>
        <w:sz w:val="16"/>
        <w:szCs w:val="16"/>
        <w:lang w:bidi="he-IL"/>
      </w:rPr>
      <w:t>IESBA</w:t>
    </w:r>
    <w:r w:rsidR="004E4850">
      <w:rPr>
        <w:rFonts w:ascii="Arial" w:hAnsi="Arial" w:cs="Arial"/>
        <w:i/>
        <w:kern w:val="8"/>
        <w:sz w:val="16"/>
        <w:szCs w:val="16"/>
        <w:lang w:bidi="he-IL"/>
      </w:rPr>
      <w:t xml:space="preserve"> CAG</w:t>
    </w:r>
    <w:r>
      <w:rPr>
        <w:rFonts w:ascii="Arial" w:hAnsi="Arial" w:cs="Arial"/>
        <w:i/>
        <w:kern w:val="8"/>
        <w:sz w:val="16"/>
        <w:szCs w:val="16"/>
        <w:lang w:bidi="he-IL"/>
      </w:rPr>
      <w:t xml:space="preserve"> </w:t>
    </w:r>
    <w:r w:rsidR="00F245E7">
      <w:rPr>
        <w:rFonts w:ascii="Arial" w:hAnsi="Arial" w:cs="Arial"/>
        <w:i/>
        <w:kern w:val="8"/>
        <w:sz w:val="16"/>
        <w:szCs w:val="16"/>
        <w:lang w:bidi="he-IL"/>
      </w:rPr>
      <w:t xml:space="preserve">Teleconference </w:t>
    </w:r>
    <w:r>
      <w:rPr>
        <w:rFonts w:ascii="Arial" w:hAnsi="Arial" w:cs="Arial"/>
        <w:i/>
        <w:kern w:val="8"/>
        <w:sz w:val="16"/>
        <w:szCs w:val="16"/>
        <w:lang w:bidi="he-IL"/>
      </w:rPr>
      <w:t>(</w:t>
    </w:r>
    <w:r w:rsidR="004E4850">
      <w:rPr>
        <w:rFonts w:ascii="Arial" w:hAnsi="Arial" w:cs="Arial"/>
        <w:i/>
        <w:kern w:val="8"/>
        <w:sz w:val="16"/>
        <w:szCs w:val="16"/>
        <w:lang w:bidi="he-IL"/>
      </w:rPr>
      <w:t>June</w:t>
    </w:r>
    <w:r w:rsidR="00A23D64">
      <w:rPr>
        <w:rFonts w:ascii="Arial" w:hAnsi="Arial" w:cs="Arial"/>
        <w:i/>
        <w:kern w:val="8"/>
        <w:sz w:val="16"/>
        <w:szCs w:val="16"/>
        <w:lang w:bidi="he-IL"/>
      </w:rPr>
      <w:t xml:space="preserve"> </w:t>
    </w:r>
    <w:r>
      <w:rPr>
        <w:rFonts w:ascii="Arial" w:hAnsi="Arial" w:cs="Arial"/>
        <w:i/>
        <w:kern w:val="8"/>
        <w:sz w:val="16"/>
        <w:szCs w:val="16"/>
        <w:lang w:bidi="he-IL"/>
      </w:rPr>
      <w:t>2014)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0D2" w:rsidRPr="001F4D37" w:rsidRDefault="007C60D2" w:rsidP="00EB096D">
    <w:pPr>
      <w:tabs>
        <w:tab w:val="center" w:pos="4680"/>
        <w:tab w:val="right" w:pos="9720"/>
      </w:tabs>
      <w:spacing w:after="60" w:line="360" w:lineRule="exact"/>
      <w:ind w:firstLine="720"/>
      <w:rPr>
        <w:rFonts w:ascii="Arial" w:eastAsia="MS Mincho" w:hAnsi="Arial" w:cs="Arial"/>
        <w:b/>
        <w:sz w:val="36"/>
        <w:lang w:eastAsia="ja-JP"/>
      </w:rPr>
    </w:pPr>
    <w:r>
      <w:rPr>
        <w:rFonts w:ascii="Arial" w:hAnsi="Arial" w:cs="Arial"/>
        <w:i/>
        <w:kern w:val="8"/>
        <w:sz w:val="16"/>
        <w:szCs w:val="16"/>
        <w:lang w:bidi="he-IL"/>
      </w:rPr>
      <w:tab/>
    </w:r>
    <w:r w:rsidRPr="00EB096D">
      <w:rPr>
        <w:rFonts w:ascii="Arial" w:hAnsi="Arial" w:cs="Arial"/>
        <w:kern w:val="8"/>
        <w:sz w:val="16"/>
        <w:szCs w:val="16"/>
        <w:lang w:bidi="he-IL"/>
      </w:rPr>
      <w:t xml:space="preserve">IESBA </w:t>
    </w:r>
    <w:r w:rsidR="004E4850">
      <w:rPr>
        <w:rFonts w:ascii="Arial" w:hAnsi="Arial" w:cs="Arial"/>
        <w:kern w:val="8"/>
        <w:sz w:val="16"/>
        <w:szCs w:val="16"/>
        <w:lang w:bidi="he-IL"/>
      </w:rPr>
      <w:t>CAG</w:t>
    </w:r>
    <w:r w:rsidR="00EF5C38">
      <w:rPr>
        <w:rFonts w:ascii="Arial" w:hAnsi="Arial" w:cs="Arial"/>
        <w:kern w:val="8"/>
        <w:sz w:val="16"/>
        <w:szCs w:val="16"/>
        <w:lang w:bidi="he-IL"/>
      </w:rPr>
      <w:t xml:space="preserve"> </w:t>
    </w:r>
    <w:r w:rsidR="004E4850">
      <w:rPr>
        <w:rFonts w:ascii="Arial" w:hAnsi="Arial" w:cs="Arial"/>
        <w:kern w:val="8"/>
        <w:sz w:val="16"/>
        <w:szCs w:val="16"/>
        <w:lang w:bidi="he-IL"/>
      </w:rPr>
      <w:t>Teleconference</w:t>
    </w:r>
    <w:r w:rsidRPr="00EB096D">
      <w:rPr>
        <w:rFonts w:ascii="Arial" w:hAnsi="Arial" w:cs="Arial"/>
        <w:kern w:val="8"/>
        <w:sz w:val="16"/>
        <w:szCs w:val="16"/>
        <w:lang w:bidi="he-IL"/>
      </w:rPr>
      <w:t xml:space="preserve"> (</w:t>
    </w:r>
    <w:r w:rsidR="004E4850">
      <w:rPr>
        <w:rFonts w:ascii="Arial" w:hAnsi="Arial" w:cs="Arial"/>
        <w:kern w:val="8"/>
        <w:sz w:val="16"/>
        <w:szCs w:val="16"/>
        <w:lang w:bidi="he-IL"/>
      </w:rPr>
      <w:t>June</w:t>
    </w:r>
    <w:r w:rsidR="00F245E7">
      <w:rPr>
        <w:rFonts w:ascii="Arial" w:hAnsi="Arial" w:cs="Arial"/>
        <w:kern w:val="8"/>
        <w:sz w:val="16"/>
        <w:szCs w:val="16"/>
        <w:lang w:bidi="he-IL"/>
      </w:rPr>
      <w:t xml:space="preserve"> </w:t>
    </w:r>
    <w:r>
      <w:rPr>
        <w:rFonts w:ascii="Arial" w:hAnsi="Arial" w:cs="Arial"/>
        <w:kern w:val="8"/>
        <w:sz w:val="16"/>
        <w:szCs w:val="16"/>
        <w:lang w:bidi="he-IL"/>
      </w:rPr>
      <w:t>2014</w:t>
    </w:r>
    <w:r w:rsidRPr="00EB096D">
      <w:rPr>
        <w:rFonts w:ascii="Arial" w:hAnsi="Arial" w:cs="Arial"/>
        <w:kern w:val="8"/>
        <w:sz w:val="16"/>
        <w:szCs w:val="16"/>
        <w:lang w:bidi="he-IL"/>
      </w:rPr>
      <w:t>)</w:t>
    </w:r>
    <w:r>
      <w:rPr>
        <w:rFonts w:ascii="Arial" w:eastAsia="MS Mincho" w:hAnsi="Arial" w:cs="Arial"/>
        <w:b/>
        <w:sz w:val="36"/>
        <w:lang w:eastAsia="ja-JP"/>
      </w:rPr>
      <w:tab/>
    </w:r>
    <w:r w:rsidRPr="001F4D37">
      <w:rPr>
        <w:rFonts w:ascii="Arial" w:eastAsia="MS Mincho" w:hAnsi="Arial" w:cs="Arial"/>
        <w:b/>
        <w:sz w:val="36"/>
        <w:lang w:eastAsia="ja-JP"/>
      </w:rPr>
      <w:t>Agenda Item</w:t>
    </w:r>
  </w:p>
  <w:p w:rsidR="007C60D2" w:rsidRPr="001F4D37" w:rsidRDefault="00CB1C72" w:rsidP="00EB096D">
    <w:pPr>
      <w:spacing w:line="360" w:lineRule="exact"/>
      <w:ind w:left="720" w:firstLine="720"/>
      <w:jc w:val="right"/>
      <w:rPr>
        <w:rFonts w:asciiTheme="minorHAnsi" w:eastAsiaTheme="minorEastAsia" w:hAnsiTheme="minorHAnsi" w:cstheme="minorBidi"/>
        <w:sz w:val="22"/>
        <w:szCs w:val="22"/>
      </w:rPr>
    </w:pPr>
    <w:r>
      <w:rPr>
        <w:rFonts w:ascii="Arial" w:eastAsia="MS Mincho" w:hAnsi="Arial" w:cs="Arial"/>
        <w:b/>
        <w:sz w:val="36"/>
        <w:lang w:eastAsia="ja-JP"/>
      </w:rPr>
      <w:t>A-</w:t>
    </w:r>
    <w:r w:rsidR="004E4850">
      <w:rPr>
        <w:rFonts w:ascii="Arial" w:eastAsia="MS Mincho" w:hAnsi="Arial" w:cs="Arial"/>
        <w:b/>
        <w:sz w:val="36"/>
        <w:lang w:eastAsia="ja-JP"/>
      </w:rPr>
      <w:t>1</w:t>
    </w:r>
  </w:p>
  <w:p w:rsidR="007C60D2" w:rsidRDefault="007C60D2" w:rsidP="00EB096D">
    <w:pPr>
      <w:pStyle w:val="Header"/>
      <w:tabs>
        <w:tab w:val="clear" w:pos="4320"/>
        <w:tab w:val="clear" w:pos="8640"/>
      </w:tabs>
      <w:spacing w:line="240" w:lineRule="exac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E3A23"/>
    <w:multiLevelType w:val="hybridMultilevel"/>
    <w:tmpl w:val="AC22FF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B6370"/>
    <w:multiLevelType w:val="hybridMultilevel"/>
    <w:tmpl w:val="EAB4C298"/>
    <w:lvl w:ilvl="0" w:tplc="94B46A6A">
      <w:numFmt w:val="bullet"/>
      <w:lvlText w:val="-"/>
      <w:lvlJc w:val="left"/>
      <w:pPr>
        <w:ind w:left="720" w:hanging="360"/>
      </w:pPr>
      <w:rPr>
        <w:rFonts w:ascii="Calibri" w:eastAsiaTheme="minorHAnsi" w:hAnsi="Calibri"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C93D2F"/>
    <w:multiLevelType w:val="multilevel"/>
    <w:tmpl w:val="696EF824"/>
    <w:lvl w:ilvl="0">
      <w:start w:val="1"/>
      <w:numFmt w:val="lowerLetter"/>
      <w:lvlText w:val="(%1)"/>
      <w:lvlJc w:val="left"/>
      <w:pPr>
        <w:tabs>
          <w:tab w:val="num" w:pos="360"/>
        </w:tabs>
        <w:ind w:left="720" w:hanging="720"/>
      </w:pPr>
      <w:rPr>
        <w:rFonts w:ascii="Arial" w:hAnsi="Arial" w:cs="Arial" w:hint="default"/>
        <w:b w:val="0"/>
        <w:i w:val="0"/>
        <w:sz w:val="20"/>
        <w:szCs w:val="20"/>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BD64AD3"/>
    <w:multiLevelType w:val="hybridMultilevel"/>
    <w:tmpl w:val="8F4E3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4A2F48"/>
    <w:multiLevelType w:val="hybridMultilevel"/>
    <w:tmpl w:val="CC2E9E92"/>
    <w:lvl w:ilvl="0" w:tplc="68F2805A">
      <w:start w:val="1"/>
      <w:numFmt w:val="decimal"/>
      <w:lvlText w:val="%1."/>
      <w:lvlJc w:val="left"/>
      <w:pPr>
        <w:ind w:left="540" w:hanging="360"/>
      </w:pPr>
      <w:rPr>
        <w:rFonts w:hint="default"/>
        <w:b w:val="0"/>
        <w:i w:val="0"/>
      </w:rPr>
    </w:lvl>
    <w:lvl w:ilvl="1" w:tplc="04090001">
      <w:start w:val="1"/>
      <w:numFmt w:val="bullet"/>
      <w:lvlText w:val=""/>
      <w:lvlJc w:val="left"/>
      <w:pPr>
        <w:ind w:left="7740" w:hanging="720"/>
      </w:pPr>
      <w:rPr>
        <w:rFonts w:ascii="Symbol" w:hAnsi="Symbol" w:hint="default"/>
        <w:b w:val="0"/>
        <w:i w:val="0"/>
      </w:rPr>
    </w:lvl>
    <w:lvl w:ilvl="2" w:tplc="0409001B">
      <w:start w:val="1"/>
      <w:numFmt w:val="lowerRoman"/>
      <w:lvlText w:val="%3."/>
      <w:lvlJc w:val="right"/>
      <w:pPr>
        <w:ind w:left="8100" w:hanging="180"/>
      </w:pPr>
    </w:lvl>
    <w:lvl w:ilvl="3" w:tplc="0409000F">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5">
    <w:nsid w:val="10140DE8"/>
    <w:multiLevelType w:val="hybridMultilevel"/>
    <w:tmpl w:val="80E441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1175668"/>
    <w:multiLevelType w:val="hybridMultilevel"/>
    <w:tmpl w:val="4A6CA5D4"/>
    <w:lvl w:ilvl="0" w:tplc="04090001">
      <w:start w:val="1"/>
      <w:numFmt w:val="bullet"/>
      <w:lvlText w:val=""/>
      <w:lvlJc w:val="left"/>
      <w:pPr>
        <w:ind w:left="1947" w:hanging="360"/>
      </w:pPr>
      <w:rPr>
        <w:rFonts w:ascii="Symbol" w:hAnsi="Symbol" w:hint="default"/>
      </w:rPr>
    </w:lvl>
    <w:lvl w:ilvl="1" w:tplc="04090003" w:tentative="1">
      <w:start w:val="1"/>
      <w:numFmt w:val="bullet"/>
      <w:lvlText w:val="o"/>
      <w:lvlJc w:val="left"/>
      <w:pPr>
        <w:ind w:left="2667" w:hanging="360"/>
      </w:pPr>
      <w:rPr>
        <w:rFonts w:ascii="Courier New" w:hAnsi="Courier New" w:cs="Courier New" w:hint="default"/>
      </w:rPr>
    </w:lvl>
    <w:lvl w:ilvl="2" w:tplc="04090005" w:tentative="1">
      <w:start w:val="1"/>
      <w:numFmt w:val="bullet"/>
      <w:lvlText w:val=""/>
      <w:lvlJc w:val="left"/>
      <w:pPr>
        <w:ind w:left="3387" w:hanging="360"/>
      </w:pPr>
      <w:rPr>
        <w:rFonts w:ascii="Wingdings" w:hAnsi="Wingdings" w:hint="default"/>
      </w:rPr>
    </w:lvl>
    <w:lvl w:ilvl="3" w:tplc="04090001" w:tentative="1">
      <w:start w:val="1"/>
      <w:numFmt w:val="bullet"/>
      <w:lvlText w:val=""/>
      <w:lvlJc w:val="left"/>
      <w:pPr>
        <w:ind w:left="4107" w:hanging="360"/>
      </w:pPr>
      <w:rPr>
        <w:rFonts w:ascii="Symbol" w:hAnsi="Symbol" w:hint="default"/>
      </w:rPr>
    </w:lvl>
    <w:lvl w:ilvl="4" w:tplc="04090003" w:tentative="1">
      <w:start w:val="1"/>
      <w:numFmt w:val="bullet"/>
      <w:lvlText w:val="o"/>
      <w:lvlJc w:val="left"/>
      <w:pPr>
        <w:ind w:left="4827" w:hanging="360"/>
      </w:pPr>
      <w:rPr>
        <w:rFonts w:ascii="Courier New" w:hAnsi="Courier New" w:cs="Courier New" w:hint="default"/>
      </w:rPr>
    </w:lvl>
    <w:lvl w:ilvl="5" w:tplc="04090005" w:tentative="1">
      <w:start w:val="1"/>
      <w:numFmt w:val="bullet"/>
      <w:lvlText w:val=""/>
      <w:lvlJc w:val="left"/>
      <w:pPr>
        <w:ind w:left="5547" w:hanging="360"/>
      </w:pPr>
      <w:rPr>
        <w:rFonts w:ascii="Wingdings" w:hAnsi="Wingdings" w:hint="default"/>
      </w:rPr>
    </w:lvl>
    <w:lvl w:ilvl="6" w:tplc="04090001" w:tentative="1">
      <w:start w:val="1"/>
      <w:numFmt w:val="bullet"/>
      <w:lvlText w:val=""/>
      <w:lvlJc w:val="left"/>
      <w:pPr>
        <w:ind w:left="6267" w:hanging="360"/>
      </w:pPr>
      <w:rPr>
        <w:rFonts w:ascii="Symbol" w:hAnsi="Symbol" w:hint="default"/>
      </w:rPr>
    </w:lvl>
    <w:lvl w:ilvl="7" w:tplc="04090003" w:tentative="1">
      <w:start w:val="1"/>
      <w:numFmt w:val="bullet"/>
      <w:lvlText w:val="o"/>
      <w:lvlJc w:val="left"/>
      <w:pPr>
        <w:ind w:left="6987" w:hanging="360"/>
      </w:pPr>
      <w:rPr>
        <w:rFonts w:ascii="Courier New" w:hAnsi="Courier New" w:cs="Courier New" w:hint="default"/>
      </w:rPr>
    </w:lvl>
    <w:lvl w:ilvl="8" w:tplc="04090005" w:tentative="1">
      <w:start w:val="1"/>
      <w:numFmt w:val="bullet"/>
      <w:lvlText w:val=""/>
      <w:lvlJc w:val="left"/>
      <w:pPr>
        <w:ind w:left="7707" w:hanging="360"/>
      </w:pPr>
      <w:rPr>
        <w:rFonts w:ascii="Wingdings" w:hAnsi="Wingdings" w:hint="default"/>
      </w:rPr>
    </w:lvl>
  </w:abstractNum>
  <w:abstractNum w:abstractNumId="7">
    <w:nsid w:val="11662A61"/>
    <w:multiLevelType w:val="hybridMultilevel"/>
    <w:tmpl w:val="FE42CE2C"/>
    <w:lvl w:ilvl="0" w:tplc="EA66020C">
      <w:start w:val="1"/>
      <w:numFmt w:val="bullet"/>
      <w:lvlText w:val=""/>
      <w:lvlJc w:val="left"/>
      <w:pPr>
        <w:ind w:left="1620" w:hanging="360"/>
      </w:pPr>
      <w:rPr>
        <w:rFonts w:ascii="Symbol" w:hAnsi="Symbol" w:hint="default"/>
        <w:b w:val="0"/>
        <w:i w:val="0"/>
        <w:caps w:val="0"/>
        <w:sz w:val="16"/>
        <w:szCs w:val="16"/>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147E6D21"/>
    <w:multiLevelType w:val="hybridMultilevel"/>
    <w:tmpl w:val="D07CCFC8"/>
    <w:lvl w:ilvl="0" w:tplc="04090003">
      <w:start w:val="1"/>
      <w:numFmt w:val="bullet"/>
      <w:lvlText w:val="o"/>
      <w:lvlJc w:val="left"/>
      <w:pPr>
        <w:ind w:left="770" w:hanging="360"/>
      </w:pPr>
      <w:rPr>
        <w:rFonts w:ascii="Courier New" w:hAnsi="Courier New" w:cs="Courier New"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nsid w:val="17E84855"/>
    <w:multiLevelType w:val="hybridMultilevel"/>
    <w:tmpl w:val="5554C84E"/>
    <w:lvl w:ilvl="0" w:tplc="8A265A5E">
      <w:start w:val="1"/>
      <w:numFmt w:val="lowerLetter"/>
      <w:lvlText w:val="(%1)"/>
      <w:lvlJc w:val="left"/>
      <w:pPr>
        <w:ind w:left="720" w:hanging="360"/>
      </w:pPr>
      <w:rPr>
        <w:rFonts w:ascii="Times New Roman" w:hAnsi="Times New Roman" w:hint="default"/>
        <w:b w:val="0"/>
        <w:bCs w:val="0"/>
        <w:i w:val="0"/>
        <w:iCs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842571"/>
    <w:multiLevelType w:val="hybridMultilevel"/>
    <w:tmpl w:val="6EBA5E46"/>
    <w:lvl w:ilvl="0" w:tplc="5600C892">
      <w:start w:val="1"/>
      <w:numFmt w:val="decimal"/>
      <w:lvlText w:val="%1."/>
      <w:lvlJc w:val="left"/>
      <w:pPr>
        <w:ind w:left="900" w:hanging="360"/>
      </w:pPr>
      <w:rPr>
        <w:rFonts w:hint="default"/>
        <w:b w:val="0"/>
      </w:rPr>
    </w:lvl>
    <w:lvl w:ilvl="1" w:tplc="24064296">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B40FF5"/>
    <w:multiLevelType w:val="hybridMultilevel"/>
    <w:tmpl w:val="D6727186"/>
    <w:lvl w:ilvl="0" w:tplc="D06A0CDE">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B539C"/>
    <w:multiLevelType w:val="hybridMultilevel"/>
    <w:tmpl w:val="5BB22020"/>
    <w:lvl w:ilvl="0" w:tplc="04090013">
      <w:start w:val="1"/>
      <w:numFmt w:val="upperRoman"/>
      <w:lvlText w:val="%1."/>
      <w:lvlJc w:val="right"/>
      <w:pPr>
        <w:ind w:left="900" w:hanging="360"/>
      </w:pPr>
      <w:rPr>
        <w:rFonts w:hint="default"/>
        <w:b w:val="0"/>
        <w:i w:val="0"/>
      </w:rPr>
    </w:lvl>
    <w:lvl w:ilvl="1" w:tplc="24064296">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2B5AF5"/>
    <w:multiLevelType w:val="hybridMultilevel"/>
    <w:tmpl w:val="6B02B8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E8737C0"/>
    <w:multiLevelType w:val="hybridMultilevel"/>
    <w:tmpl w:val="21B69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457897"/>
    <w:multiLevelType w:val="hybridMultilevel"/>
    <w:tmpl w:val="29BEB3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9867D7"/>
    <w:multiLevelType w:val="hybridMultilevel"/>
    <w:tmpl w:val="D92C1C20"/>
    <w:lvl w:ilvl="0" w:tplc="0C090001">
      <w:start w:val="1"/>
      <w:numFmt w:val="bullet"/>
      <w:lvlText w:val=""/>
      <w:lvlJc w:val="left"/>
      <w:pPr>
        <w:ind w:left="900" w:hanging="360"/>
      </w:pPr>
      <w:rPr>
        <w:rFonts w:ascii="Symbol" w:hAnsi="Symbol" w:hint="default"/>
        <w:b w:val="0"/>
      </w:rPr>
    </w:lvl>
    <w:lvl w:ilvl="1" w:tplc="24064296">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E17341"/>
    <w:multiLevelType w:val="hybridMultilevel"/>
    <w:tmpl w:val="2682CC8E"/>
    <w:lvl w:ilvl="0" w:tplc="FC560974">
      <w:start w:val="1"/>
      <w:numFmt w:val="upperRoman"/>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3D364D"/>
    <w:multiLevelType w:val="hybridMultilevel"/>
    <w:tmpl w:val="68E82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5B391C"/>
    <w:multiLevelType w:val="hybridMultilevel"/>
    <w:tmpl w:val="41D631AA"/>
    <w:lvl w:ilvl="0" w:tplc="08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20">
    <w:nsid w:val="3913415E"/>
    <w:multiLevelType w:val="hybridMultilevel"/>
    <w:tmpl w:val="CE24DC6E"/>
    <w:lvl w:ilvl="0" w:tplc="68F2805A">
      <w:start w:val="1"/>
      <w:numFmt w:val="decimal"/>
      <w:lvlText w:val="%1."/>
      <w:lvlJc w:val="left"/>
      <w:pPr>
        <w:ind w:left="360" w:hanging="360"/>
      </w:pPr>
      <w:rPr>
        <w:rFonts w:hint="default"/>
        <w:b w:val="0"/>
        <w:i w:val="0"/>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144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0" w:hanging="180"/>
      </w:pPr>
    </w:lvl>
  </w:abstractNum>
  <w:abstractNum w:abstractNumId="21">
    <w:nsid w:val="3B090AFF"/>
    <w:multiLevelType w:val="hybridMultilevel"/>
    <w:tmpl w:val="FCBC602A"/>
    <w:lvl w:ilvl="0" w:tplc="B1883A1C">
      <w:start w:val="1"/>
      <w:numFmt w:val="bullet"/>
      <w:pStyle w:val="BulletedListundernumpara"/>
      <w:lvlText w:val="•"/>
      <w:lvlJc w:val="left"/>
      <w:pPr>
        <w:tabs>
          <w:tab w:val="num" w:pos="1080"/>
        </w:tabs>
        <w:ind w:left="1080" w:hanging="360"/>
      </w:pPr>
      <w:rPr>
        <w:rFonts w:ascii="Times New Roman" w:hAnsi="Times New Roman" w:cs="Times New Roman" w:hint="default"/>
        <w:color w:val="auto"/>
        <w:sz w:val="24"/>
        <w:szCs w:val="24"/>
      </w:rPr>
    </w:lvl>
    <w:lvl w:ilvl="1" w:tplc="FFFFFFFF">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3E673631"/>
    <w:multiLevelType w:val="hybridMultilevel"/>
    <w:tmpl w:val="5B64883E"/>
    <w:lvl w:ilvl="0" w:tplc="40AC803C">
      <w:start w:val="1"/>
      <w:numFmt w:val="lowerRoman"/>
      <w:lvlText w:val="(%1)"/>
      <w:lvlJc w:val="left"/>
      <w:pPr>
        <w:tabs>
          <w:tab w:val="num" w:pos="720"/>
        </w:tabs>
        <w:ind w:left="72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355F9D"/>
    <w:multiLevelType w:val="hybridMultilevel"/>
    <w:tmpl w:val="B8AE86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9D6EFF"/>
    <w:multiLevelType w:val="hybridMultilevel"/>
    <w:tmpl w:val="FECCA296"/>
    <w:lvl w:ilvl="0" w:tplc="A352FA08">
      <w:start w:val="35"/>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FA58FD"/>
    <w:multiLevelType w:val="hybridMultilevel"/>
    <w:tmpl w:val="50B836A0"/>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nsid w:val="4C5938F4"/>
    <w:multiLevelType w:val="hybridMultilevel"/>
    <w:tmpl w:val="63AAD012"/>
    <w:lvl w:ilvl="0" w:tplc="0C090015">
      <w:start w:val="2"/>
      <w:numFmt w:val="upperLetter"/>
      <w:lvlText w:val="%1."/>
      <w:lvlJc w:val="left"/>
      <w:pPr>
        <w:ind w:left="900" w:hanging="360"/>
      </w:pPr>
      <w:rPr>
        <w:rFonts w:hint="default"/>
      </w:r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27">
    <w:nsid w:val="503555DE"/>
    <w:multiLevelType w:val="hybridMultilevel"/>
    <w:tmpl w:val="E8EAE2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863A8E"/>
    <w:multiLevelType w:val="hybridMultilevel"/>
    <w:tmpl w:val="22382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3E4034"/>
    <w:multiLevelType w:val="multilevel"/>
    <w:tmpl w:val="0409001D"/>
    <w:lvl w:ilvl="0">
      <w:start w:val="1"/>
      <w:numFmt w:val="decimal"/>
      <w:lvlText w:val="%1)"/>
      <w:lvlJc w:val="left"/>
      <w:pPr>
        <w:ind w:left="900" w:hanging="360"/>
      </w:pPr>
    </w:lvl>
    <w:lvl w:ilvl="1">
      <w:start w:val="1"/>
      <w:numFmt w:val="lowerLetter"/>
      <w:lvlText w:val="%2)"/>
      <w:lvlJc w:val="left"/>
      <w:pPr>
        <w:ind w:left="1260" w:hanging="360"/>
      </w:pPr>
    </w:lvl>
    <w:lvl w:ilvl="2">
      <w:start w:val="1"/>
      <w:numFmt w:val="lowerRoman"/>
      <w:lvlText w:val="%3)"/>
      <w:lvlJc w:val="left"/>
      <w:pPr>
        <w:ind w:left="1620" w:hanging="360"/>
      </w:pPr>
    </w:lvl>
    <w:lvl w:ilvl="3">
      <w:start w:val="1"/>
      <w:numFmt w:val="decimal"/>
      <w:lvlText w:val="(%4)"/>
      <w:lvlJc w:val="left"/>
      <w:pPr>
        <w:ind w:left="1980" w:hanging="360"/>
      </w:pPr>
    </w:lvl>
    <w:lvl w:ilvl="4">
      <w:start w:val="1"/>
      <w:numFmt w:val="lowerLetter"/>
      <w:lvlText w:val="(%5)"/>
      <w:lvlJc w:val="left"/>
      <w:pPr>
        <w:ind w:left="2340" w:hanging="360"/>
      </w:pPr>
    </w:lvl>
    <w:lvl w:ilvl="5">
      <w:start w:val="1"/>
      <w:numFmt w:val="lowerRoman"/>
      <w:lvlText w:val="(%6)"/>
      <w:lvlJc w:val="left"/>
      <w:pPr>
        <w:ind w:left="2700" w:hanging="360"/>
      </w:pPr>
    </w:lvl>
    <w:lvl w:ilvl="6">
      <w:start w:val="1"/>
      <w:numFmt w:val="decimal"/>
      <w:lvlText w:val="%7."/>
      <w:lvlJc w:val="left"/>
      <w:pPr>
        <w:ind w:left="3060" w:hanging="360"/>
      </w:pPr>
    </w:lvl>
    <w:lvl w:ilvl="7">
      <w:start w:val="1"/>
      <w:numFmt w:val="lowerLetter"/>
      <w:lvlText w:val="%8."/>
      <w:lvlJc w:val="left"/>
      <w:pPr>
        <w:ind w:left="3420" w:hanging="360"/>
      </w:pPr>
    </w:lvl>
    <w:lvl w:ilvl="8">
      <w:start w:val="1"/>
      <w:numFmt w:val="lowerRoman"/>
      <w:lvlText w:val="%9."/>
      <w:lvlJc w:val="left"/>
      <w:pPr>
        <w:ind w:left="3780" w:hanging="360"/>
      </w:pPr>
    </w:lvl>
  </w:abstractNum>
  <w:abstractNum w:abstractNumId="30">
    <w:nsid w:val="535F3BC2"/>
    <w:multiLevelType w:val="hybridMultilevel"/>
    <w:tmpl w:val="9140C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206430"/>
    <w:multiLevelType w:val="hybridMultilevel"/>
    <w:tmpl w:val="511CFB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98E72B6"/>
    <w:multiLevelType w:val="hybridMultilevel"/>
    <w:tmpl w:val="15AE36F2"/>
    <w:lvl w:ilvl="0" w:tplc="10D2CC58">
      <w:start w:val="1"/>
      <w:numFmt w:val="lowerRoman"/>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3">
    <w:nsid w:val="5A1070F3"/>
    <w:multiLevelType w:val="hybridMultilevel"/>
    <w:tmpl w:val="BEFE8F32"/>
    <w:lvl w:ilvl="0" w:tplc="8E1A1D12">
      <w:start w:val="3"/>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5504BC"/>
    <w:multiLevelType w:val="hybridMultilevel"/>
    <w:tmpl w:val="F1087514"/>
    <w:lvl w:ilvl="0" w:tplc="D03ADA1C">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35">
    <w:nsid w:val="5D9323B8"/>
    <w:multiLevelType w:val="hybridMultilevel"/>
    <w:tmpl w:val="DA5A2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476BE6"/>
    <w:multiLevelType w:val="hybridMultilevel"/>
    <w:tmpl w:val="810E940C"/>
    <w:lvl w:ilvl="0" w:tplc="FA18060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FB73E08"/>
    <w:multiLevelType w:val="hybridMultilevel"/>
    <w:tmpl w:val="242AB3D8"/>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08C30F7"/>
    <w:multiLevelType w:val="hybridMultilevel"/>
    <w:tmpl w:val="7214E83C"/>
    <w:lvl w:ilvl="0" w:tplc="B1BC00F8">
      <w:start w:val="1"/>
      <w:numFmt w:val="decimal"/>
      <w:lvlText w:val="%1."/>
      <w:lvlJc w:val="left"/>
      <w:pPr>
        <w:ind w:left="81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25E7A0D"/>
    <w:multiLevelType w:val="hybridMultilevel"/>
    <w:tmpl w:val="0D7E027A"/>
    <w:lvl w:ilvl="0" w:tplc="04090001">
      <w:start w:val="1"/>
      <w:numFmt w:val="bullet"/>
      <w:lvlText w:val=""/>
      <w:lvlJc w:val="left"/>
      <w:pPr>
        <w:ind w:left="1253" w:hanging="360"/>
      </w:pPr>
      <w:rPr>
        <w:rFonts w:ascii="Symbol" w:hAnsi="Symbol" w:hint="default"/>
      </w:rPr>
    </w:lvl>
    <w:lvl w:ilvl="1" w:tplc="04090003" w:tentative="1">
      <w:start w:val="1"/>
      <w:numFmt w:val="bullet"/>
      <w:lvlText w:val="o"/>
      <w:lvlJc w:val="left"/>
      <w:pPr>
        <w:ind w:left="1973" w:hanging="360"/>
      </w:pPr>
      <w:rPr>
        <w:rFonts w:ascii="Courier New" w:hAnsi="Courier New" w:cs="Courier New" w:hint="default"/>
      </w:rPr>
    </w:lvl>
    <w:lvl w:ilvl="2" w:tplc="04090005" w:tentative="1">
      <w:start w:val="1"/>
      <w:numFmt w:val="bullet"/>
      <w:lvlText w:val=""/>
      <w:lvlJc w:val="left"/>
      <w:pPr>
        <w:ind w:left="2693" w:hanging="360"/>
      </w:pPr>
      <w:rPr>
        <w:rFonts w:ascii="Wingdings" w:hAnsi="Wingdings" w:hint="default"/>
      </w:rPr>
    </w:lvl>
    <w:lvl w:ilvl="3" w:tplc="04090001" w:tentative="1">
      <w:start w:val="1"/>
      <w:numFmt w:val="bullet"/>
      <w:lvlText w:val=""/>
      <w:lvlJc w:val="left"/>
      <w:pPr>
        <w:ind w:left="3413" w:hanging="360"/>
      </w:pPr>
      <w:rPr>
        <w:rFonts w:ascii="Symbol" w:hAnsi="Symbol" w:hint="default"/>
      </w:rPr>
    </w:lvl>
    <w:lvl w:ilvl="4" w:tplc="04090003" w:tentative="1">
      <w:start w:val="1"/>
      <w:numFmt w:val="bullet"/>
      <w:lvlText w:val="o"/>
      <w:lvlJc w:val="left"/>
      <w:pPr>
        <w:ind w:left="4133" w:hanging="360"/>
      </w:pPr>
      <w:rPr>
        <w:rFonts w:ascii="Courier New" w:hAnsi="Courier New" w:cs="Courier New" w:hint="default"/>
      </w:rPr>
    </w:lvl>
    <w:lvl w:ilvl="5" w:tplc="04090005" w:tentative="1">
      <w:start w:val="1"/>
      <w:numFmt w:val="bullet"/>
      <w:lvlText w:val=""/>
      <w:lvlJc w:val="left"/>
      <w:pPr>
        <w:ind w:left="4853" w:hanging="360"/>
      </w:pPr>
      <w:rPr>
        <w:rFonts w:ascii="Wingdings" w:hAnsi="Wingdings" w:hint="default"/>
      </w:rPr>
    </w:lvl>
    <w:lvl w:ilvl="6" w:tplc="04090001" w:tentative="1">
      <w:start w:val="1"/>
      <w:numFmt w:val="bullet"/>
      <w:lvlText w:val=""/>
      <w:lvlJc w:val="left"/>
      <w:pPr>
        <w:ind w:left="5573" w:hanging="360"/>
      </w:pPr>
      <w:rPr>
        <w:rFonts w:ascii="Symbol" w:hAnsi="Symbol" w:hint="default"/>
      </w:rPr>
    </w:lvl>
    <w:lvl w:ilvl="7" w:tplc="04090003" w:tentative="1">
      <w:start w:val="1"/>
      <w:numFmt w:val="bullet"/>
      <w:lvlText w:val="o"/>
      <w:lvlJc w:val="left"/>
      <w:pPr>
        <w:ind w:left="6293" w:hanging="360"/>
      </w:pPr>
      <w:rPr>
        <w:rFonts w:ascii="Courier New" w:hAnsi="Courier New" w:cs="Courier New" w:hint="default"/>
      </w:rPr>
    </w:lvl>
    <w:lvl w:ilvl="8" w:tplc="04090005" w:tentative="1">
      <w:start w:val="1"/>
      <w:numFmt w:val="bullet"/>
      <w:lvlText w:val=""/>
      <w:lvlJc w:val="left"/>
      <w:pPr>
        <w:ind w:left="7013" w:hanging="360"/>
      </w:pPr>
      <w:rPr>
        <w:rFonts w:ascii="Wingdings" w:hAnsi="Wingdings" w:hint="default"/>
      </w:rPr>
    </w:lvl>
  </w:abstractNum>
  <w:abstractNum w:abstractNumId="40">
    <w:nsid w:val="674C0E72"/>
    <w:multiLevelType w:val="hybridMultilevel"/>
    <w:tmpl w:val="B7640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87F2183"/>
    <w:multiLevelType w:val="hybridMultilevel"/>
    <w:tmpl w:val="9A808B6E"/>
    <w:lvl w:ilvl="0" w:tplc="D06A0CD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B8E7E49"/>
    <w:multiLevelType w:val="hybridMultilevel"/>
    <w:tmpl w:val="25021F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C6258F"/>
    <w:multiLevelType w:val="hybridMultilevel"/>
    <w:tmpl w:val="16BEF5B8"/>
    <w:lvl w:ilvl="0" w:tplc="D06A0C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4">
    <w:nsid w:val="6D4965F2"/>
    <w:multiLevelType w:val="hybridMultilevel"/>
    <w:tmpl w:val="40CC419C"/>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F65B1E"/>
    <w:multiLevelType w:val="hybridMultilevel"/>
    <w:tmpl w:val="BC76753A"/>
    <w:lvl w:ilvl="0" w:tplc="04090015">
      <w:start w:val="1"/>
      <w:numFmt w:val="upperLetter"/>
      <w:lvlText w:val="%1."/>
      <w:lvlJc w:val="left"/>
      <w:pPr>
        <w:ind w:left="1980" w:hanging="360"/>
      </w:pPr>
      <w:rPr>
        <w:rFonts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6">
    <w:nsid w:val="75730B5E"/>
    <w:multiLevelType w:val="hybridMultilevel"/>
    <w:tmpl w:val="FECCA296"/>
    <w:lvl w:ilvl="0" w:tplc="A352FA08">
      <w:start w:val="35"/>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97B2BDE"/>
    <w:multiLevelType w:val="hybridMultilevel"/>
    <w:tmpl w:val="D860762C"/>
    <w:lvl w:ilvl="0" w:tplc="68F2805A">
      <w:start w:val="1"/>
      <w:numFmt w:val="decimal"/>
      <w:lvlText w:val="%1."/>
      <w:lvlJc w:val="left"/>
      <w:pPr>
        <w:ind w:left="6840" w:hanging="360"/>
      </w:pPr>
      <w:rPr>
        <w:rFonts w:hint="default"/>
        <w:b w:val="0"/>
        <w:i w:val="0"/>
      </w:rPr>
    </w:lvl>
    <w:lvl w:ilvl="1" w:tplc="04090011">
      <w:start w:val="1"/>
      <w:numFmt w:val="decimal"/>
      <w:lvlText w:val="%2)"/>
      <w:lvlJc w:val="left"/>
      <w:pPr>
        <w:ind w:left="7740" w:hanging="720"/>
      </w:pPr>
      <w:rPr>
        <w:rFonts w:hint="default"/>
        <w:b w:val="0"/>
        <w:i w:val="0"/>
      </w:r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48">
    <w:nsid w:val="79F44C77"/>
    <w:multiLevelType w:val="hybridMultilevel"/>
    <w:tmpl w:val="4420F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D5E598F"/>
    <w:multiLevelType w:val="multilevel"/>
    <w:tmpl w:val="197059CC"/>
    <w:lvl w:ilvl="0">
      <w:start w:val="1"/>
      <w:numFmt w:val="lowerLetter"/>
      <w:pStyle w:val="LetteredList"/>
      <w:lvlText w:val="(%1)"/>
      <w:lvlJc w:val="left"/>
      <w:pPr>
        <w:tabs>
          <w:tab w:val="num" w:pos="1080"/>
        </w:tabs>
        <w:ind w:left="1080" w:hanging="360"/>
      </w:pPr>
      <w:rPr>
        <w:caps w:val="0"/>
        <w:strike w:val="0"/>
        <w:dstrike w:val="0"/>
        <w:vanish w:val="0"/>
        <w:webHidden w:val="0"/>
        <w:color w:val="000000"/>
        <w:sz w:val="24"/>
        <w:szCs w:val="24"/>
        <w:u w:val="none"/>
        <w:effect w:val="none"/>
        <w:vertAlign w:val="baseline"/>
        <w:specVanish w:val="0"/>
      </w:rPr>
    </w:lvl>
    <w:lvl w:ilvl="1">
      <w:start w:val="1"/>
      <w:numFmt w:val="lowerRoman"/>
      <w:lvlText w:val="(%2)"/>
      <w:lvlJc w:val="right"/>
      <w:pPr>
        <w:tabs>
          <w:tab w:val="num" w:pos="1440"/>
        </w:tabs>
        <w:ind w:left="1440" w:hanging="72"/>
      </w:pPr>
    </w:lvl>
    <w:lvl w:ilvl="2">
      <w:start w:val="1"/>
      <w:numFmt w:val="lowerRoman"/>
      <w:lvlText w:val="%3."/>
      <w:lvlJc w:val="left"/>
      <w:pPr>
        <w:tabs>
          <w:tab w:val="num" w:pos="2880"/>
        </w:tabs>
        <w:ind w:left="2880" w:hanging="720"/>
      </w:pPr>
    </w:lvl>
    <w:lvl w:ilvl="3">
      <w:start w:val="1"/>
      <w:numFmt w:val="lowerLetter"/>
      <w:lvlText w:val="%4."/>
      <w:lvlJc w:val="left"/>
      <w:pPr>
        <w:tabs>
          <w:tab w:val="num" w:pos="3600"/>
        </w:tabs>
        <w:ind w:left="3600" w:hanging="72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17"/>
  </w:num>
  <w:num w:numId="5">
    <w:abstractNumId w:val="23"/>
  </w:num>
  <w:num w:numId="6">
    <w:abstractNumId w:val="7"/>
  </w:num>
  <w:num w:numId="7">
    <w:abstractNumId w:val="4"/>
  </w:num>
  <w:num w:numId="8">
    <w:abstractNumId w:val="31"/>
  </w:num>
  <w:num w:numId="9">
    <w:abstractNumId w:val="25"/>
  </w:num>
  <w:num w:numId="10">
    <w:abstractNumId w:val="2"/>
  </w:num>
  <w:num w:numId="11">
    <w:abstractNumId w:val="29"/>
  </w:num>
  <w:num w:numId="12">
    <w:abstractNumId w:val="1"/>
  </w:num>
  <w:num w:numId="13">
    <w:abstractNumId w:val="26"/>
  </w:num>
  <w:num w:numId="14">
    <w:abstractNumId w:val="10"/>
  </w:num>
  <w:num w:numId="15">
    <w:abstractNumId w:val="16"/>
  </w:num>
  <w:num w:numId="16">
    <w:abstractNumId w:val="22"/>
  </w:num>
  <w:num w:numId="17">
    <w:abstractNumId w:val="39"/>
  </w:num>
  <w:num w:numId="18">
    <w:abstractNumId w:val="41"/>
  </w:num>
  <w:num w:numId="19">
    <w:abstractNumId w:val="42"/>
  </w:num>
  <w:num w:numId="20">
    <w:abstractNumId w:val="8"/>
  </w:num>
  <w:num w:numId="21">
    <w:abstractNumId w:val="44"/>
  </w:num>
  <w:num w:numId="22">
    <w:abstractNumId w:val="48"/>
  </w:num>
  <w:num w:numId="23">
    <w:abstractNumId w:val="35"/>
  </w:num>
  <w:num w:numId="24">
    <w:abstractNumId w:val="18"/>
  </w:num>
  <w:num w:numId="25">
    <w:abstractNumId w:val="37"/>
  </w:num>
  <w:num w:numId="26">
    <w:abstractNumId w:val="12"/>
  </w:num>
  <w:num w:numId="27">
    <w:abstractNumId w:val="14"/>
  </w:num>
  <w:num w:numId="28">
    <w:abstractNumId w:val="9"/>
  </w:num>
  <w:num w:numId="29">
    <w:abstractNumId w:val="32"/>
  </w:num>
  <w:num w:numId="30">
    <w:abstractNumId w:val="36"/>
  </w:num>
  <w:num w:numId="31">
    <w:abstractNumId w:val="45"/>
  </w:num>
  <w:num w:numId="32">
    <w:abstractNumId w:val="0"/>
  </w:num>
  <w:num w:numId="33">
    <w:abstractNumId w:val="5"/>
  </w:num>
  <w:num w:numId="34">
    <w:abstractNumId w:val="20"/>
  </w:num>
  <w:num w:numId="35">
    <w:abstractNumId w:val="13"/>
  </w:num>
  <w:num w:numId="36">
    <w:abstractNumId w:val="19"/>
  </w:num>
  <w:num w:numId="37">
    <w:abstractNumId w:val="47"/>
  </w:num>
  <w:num w:numId="38">
    <w:abstractNumId w:val="30"/>
  </w:num>
  <w:num w:numId="39">
    <w:abstractNumId w:val="43"/>
  </w:num>
  <w:num w:numId="40">
    <w:abstractNumId w:val="11"/>
  </w:num>
  <w:num w:numId="41">
    <w:abstractNumId w:val="27"/>
  </w:num>
  <w:num w:numId="42">
    <w:abstractNumId w:val="24"/>
  </w:num>
  <w:num w:numId="43">
    <w:abstractNumId w:val="46"/>
  </w:num>
  <w:num w:numId="44">
    <w:abstractNumId w:val="33"/>
  </w:num>
  <w:num w:numId="45">
    <w:abstractNumId w:val="15"/>
  </w:num>
  <w:num w:numId="46">
    <w:abstractNumId w:val="34"/>
  </w:num>
  <w:num w:numId="47">
    <w:abstractNumId w:val="28"/>
  </w:num>
  <w:num w:numId="48">
    <w:abstractNumId w:val="3"/>
  </w:num>
  <w:num w:numId="49">
    <w:abstractNumId w:val="40"/>
  </w:num>
  <w:num w:numId="5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298"/>
    <w:rsid w:val="00000134"/>
    <w:rsid w:val="0000057A"/>
    <w:rsid w:val="000014BC"/>
    <w:rsid w:val="00003A39"/>
    <w:rsid w:val="00003B45"/>
    <w:rsid w:val="00004267"/>
    <w:rsid w:val="00005D4D"/>
    <w:rsid w:val="00006342"/>
    <w:rsid w:val="000072BA"/>
    <w:rsid w:val="00007537"/>
    <w:rsid w:val="000100F5"/>
    <w:rsid w:val="0001038B"/>
    <w:rsid w:val="000114BF"/>
    <w:rsid w:val="0001197C"/>
    <w:rsid w:val="00012022"/>
    <w:rsid w:val="00012048"/>
    <w:rsid w:val="00012631"/>
    <w:rsid w:val="000126E9"/>
    <w:rsid w:val="00012A04"/>
    <w:rsid w:val="00013E3E"/>
    <w:rsid w:val="00014569"/>
    <w:rsid w:val="00014D77"/>
    <w:rsid w:val="00016027"/>
    <w:rsid w:val="000168AA"/>
    <w:rsid w:val="00017159"/>
    <w:rsid w:val="00017830"/>
    <w:rsid w:val="0002002A"/>
    <w:rsid w:val="000208AC"/>
    <w:rsid w:val="00022081"/>
    <w:rsid w:val="000223CC"/>
    <w:rsid w:val="00023701"/>
    <w:rsid w:val="00023D9A"/>
    <w:rsid w:val="0002433D"/>
    <w:rsid w:val="00024426"/>
    <w:rsid w:val="00025499"/>
    <w:rsid w:val="00025D1F"/>
    <w:rsid w:val="00025EB9"/>
    <w:rsid w:val="00026C48"/>
    <w:rsid w:val="00026DE5"/>
    <w:rsid w:val="000276DF"/>
    <w:rsid w:val="00027A34"/>
    <w:rsid w:val="00030DA7"/>
    <w:rsid w:val="00031929"/>
    <w:rsid w:val="00033B3C"/>
    <w:rsid w:val="00034C66"/>
    <w:rsid w:val="00035FE4"/>
    <w:rsid w:val="0003663B"/>
    <w:rsid w:val="000368D9"/>
    <w:rsid w:val="00041165"/>
    <w:rsid w:val="00042BC8"/>
    <w:rsid w:val="00042D59"/>
    <w:rsid w:val="000433A8"/>
    <w:rsid w:val="000445CA"/>
    <w:rsid w:val="00044BB9"/>
    <w:rsid w:val="00044D5F"/>
    <w:rsid w:val="00044F8A"/>
    <w:rsid w:val="0004623F"/>
    <w:rsid w:val="0004633A"/>
    <w:rsid w:val="000467C5"/>
    <w:rsid w:val="00047D53"/>
    <w:rsid w:val="00047F66"/>
    <w:rsid w:val="00050CE7"/>
    <w:rsid w:val="0005138E"/>
    <w:rsid w:val="00051C86"/>
    <w:rsid w:val="00052822"/>
    <w:rsid w:val="00052FFC"/>
    <w:rsid w:val="00054ADE"/>
    <w:rsid w:val="00055005"/>
    <w:rsid w:val="00055C04"/>
    <w:rsid w:val="000569F5"/>
    <w:rsid w:val="00057138"/>
    <w:rsid w:val="00057573"/>
    <w:rsid w:val="0005766C"/>
    <w:rsid w:val="00060285"/>
    <w:rsid w:val="0006079E"/>
    <w:rsid w:val="000623CA"/>
    <w:rsid w:val="000629F1"/>
    <w:rsid w:val="00064FB2"/>
    <w:rsid w:val="00066176"/>
    <w:rsid w:val="0006651B"/>
    <w:rsid w:val="00066652"/>
    <w:rsid w:val="00066961"/>
    <w:rsid w:val="00067805"/>
    <w:rsid w:val="00067E1F"/>
    <w:rsid w:val="000705AE"/>
    <w:rsid w:val="00071236"/>
    <w:rsid w:val="00071242"/>
    <w:rsid w:val="00073410"/>
    <w:rsid w:val="000734DB"/>
    <w:rsid w:val="0007406F"/>
    <w:rsid w:val="000744C4"/>
    <w:rsid w:val="000745B0"/>
    <w:rsid w:val="00074A17"/>
    <w:rsid w:val="00075936"/>
    <w:rsid w:val="00076082"/>
    <w:rsid w:val="00077470"/>
    <w:rsid w:val="00077591"/>
    <w:rsid w:val="00077B53"/>
    <w:rsid w:val="000800DF"/>
    <w:rsid w:val="00080CA8"/>
    <w:rsid w:val="00081857"/>
    <w:rsid w:val="00082170"/>
    <w:rsid w:val="0008282A"/>
    <w:rsid w:val="000832F5"/>
    <w:rsid w:val="00083AE3"/>
    <w:rsid w:val="00083EED"/>
    <w:rsid w:val="00085124"/>
    <w:rsid w:val="000853CA"/>
    <w:rsid w:val="00086229"/>
    <w:rsid w:val="0008661B"/>
    <w:rsid w:val="000869FC"/>
    <w:rsid w:val="00086D66"/>
    <w:rsid w:val="00087BD4"/>
    <w:rsid w:val="0009004F"/>
    <w:rsid w:val="000904EA"/>
    <w:rsid w:val="00091602"/>
    <w:rsid w:val="000916B6"/>
    <w:rsid w:val="00091B04"/>
    <w:rsid w:val="0009249A"/>
    <w:rsid w:val="0009287F"/>
    <w:rsid w:val="00092888"/>
    <w:rsid w:val="000936B4"/>
    <w:rsid w:val="000948E5"/>
    <w:rsid w:val="00094C6D"/>
    <w:rsid w:val="00094D53"/>
    <w:rsid w:val="00095C4C"/>
    <w:rsid w:val="00095DF7"/>
    <w:rsid w:val="000965D3"/>
    <w:rsid w:val="00096A4F"/>
    <w:rsid w:val="00096D4E"/>
    <w:rsid w:val="00097DE3"/>
    <w:rsid w:val="00097E5D"/>
    <w:rsid w:val="000A0BFF"/>
    <w:rsid w:val="000A1032"/>
    <w:rsid w:val="000A21DF"/>
    <w:rsid w:val="000A2477"/>
    <w:rsid w:val="000A24FE"/>
    <w:rsid w:val="000A30D7"/>
    <w:rsid w:val="000A3598"/>
    <w:rsid w:val="000A3F97"/>
    <w:rsid w:val="000A414C"/>
    <w:rsid w:val="000A5BD1"/>
    <w:rsid w:val="000A6A40"/>
    <w:rsid w:val="000A7070"/>
    <w:rsid w:val="000A738C"/>
    <w:rsid w:val="000A756A"/>
    <w:rsid w:val="000B1DE2"/>
    <w:rsid w:val="000B2D7A"/>
    <w:rsid w:val="000B3475"/>
    <w:rsid w:val="000B3E50"/>
    <w:rsid w:val="000B3FAE"/>
    <w:rsid w:val="000B4913"/>
    <w:rsid w:val="000B5B26"/>
    <w:rsid w:val="000B5C63"/>
    <w:rsid w:val="000B684B"/>
    <w:rsid w:val="000B717D"/>
    <w:rsid w:val="000B75BC"/>
    <w:rsid w:val="000B7F04"/>
    <w:rsid w:val="000C07D2"/>
    <w:rsid w:val="000C0958"/>
    <w:rsid w:val="000C0DD6"/>
    <w:rsid w:val="000C0F9D"/>
    <w:rsid w:val="000C10E1"/>
    <w:rsid w:val="000C1C74"/>
    <w:rsid w:val="000C2996"/>
    <w:rsid w:val="000C2E2E"/>
    <w:rsid w:val="000C3050"/>
    <w:rsid w:val="000C4066"/>
    <w:rsid w:val="000C496D"/>
    <w:rsid w:val="000C4F5A"/>
    <w:rsid w:val="000C59B0"/>
    <w:rsid w:val="000C612E"/>
    <w:rsid w:val="000C6483"/>
    <w:rsid w:val="000C672A"/>
    <w:rsid w:val="000C69EF"/>
    <w:rsid w:val="000C73BD"/>
    <w:rsid w:val="000C751F"/>
    <w:rsid w:val="000C7A41"/>
    <w:rsid w:val="000C7B38"/>
    <w:rsid w:val="000D0D3C"/>
    <w:rsid w:val="000D11B8"/>
    <w:rsid w:val="000D151E"/>
    <w:rsid w:val="000D163F"/>
    <w:rsid w:val="000D1D34"/>
    <w:rsid w:val="000D40AA"/>
    <w:rsid w:val="000D4D7B"/>
    <w:rsid w:val="000D51EE"/>
    <w:rsid w:val="000D6851"/>
    <w:rsid w:val="000D6FFE"/>
    <w:rsid w:val="000D7760"/>
    <w:rsid w:val="000E036B"/>
    <w:rsid w:val="000E0F7A"/>
    <w:rsid w:val="000E13C8"/>
    <w:rsid w:val="000E14DA"/>
    <w:rsid w:val="000E2052"/>
    <w:rsid w:val="000E38F9"/>
    <w:rsid w:val="000E4F9B"/>
    <w:rsid w:val="000E5925"/>
    <w:rsid w:val="000E5C7B"/>
    <w:rsid w:val="000E5CC6"/>
    <w:rsid w:val="000E5FFC"/>
    <w:rsid w:val="000E630E"/>
    <w:rsid w:val="000E68B2"/>
    <w:rsid w:val="000E695F"/>
    <w:rsid w:val="000E710D"/>
    <w:rsid w:val="000E712E"/>
    <w:rsid w:val="000E7A6F"/>
    <w:rsid w:val="000E7D08"/>
    <w:rsid w:val="000E7F18"/>
    <w:rsid w:val="000F248F"/>
    <w:rsid w:val="000F24EE"/>
    <w:rsid w:val="000F2900"/>
    <w:rsid w:val="000F467F"/>
    <w:rsid w:val="000F480B"/>
    <w:rsid w:val="000F57C3"/>
    <w:rsid w:val="000F69E2"/>
    <w:rsid w:val="000F77F3"/>
    <w:rsid w:val="001001A6"/>
    <w:rsid w:val="00100BCD"/>
    <w:rsid w:val="00101712"/>
    <w:rsid w:val="00101BD0"/>
    <w:rsid w:val="0010249B"/>
    <w:rsid w:val="00102CB8"/>
    <w:rsid w:val="0010313A"/>
    <w:rsid w:val="001033FB"/>
    <w:rsid w:val="00103A46"/>
    <w:rsid w:val="00104170"/>
    <w:rsid w:val="00104417"/>
    <w:rsid w:val="00104773"/>
    <w:rsid w:val="00104998"/>
    <w:rsid w:val="001049F2"/>
    <w:rsid w:val="00104B5D"/>
    <w:rsid w:val="00104C95"/>
    <w:rsid w:val="001053DB"/>
    <w:rsid w:val="00105E83"/>
    <w:rsid w:val="001061B4"/>
    <w:rsid w:val="00106A8B"/>
    <w:rsid w:val="00106EE4"/>
    <w:rsid w:val="00107171"/>
    <w:rsid w:val="0010768B"/>
    <w:rsid w:val="00111CEB"/>
    <w:rsid w:val="00111FBA"/>
    <w:rsid w:val="0011210F"/>
    <w:rsid w:val="00112E76"/>
    <w:rsid w:val="00113589"/>
    <w:rsid w:val="001135DE"/>
    <w:rsid w:val="00113CA6"/>
    <w:rsid w:val="00113E21"/>
    <w:rsid w:val="00113EF0"/>
    <w:rsid w:val="00114B6F"/>
    <w:rsid w:val="00114DA4"/>
    <w:rsid w:val="00114EA3"/>
    <w:rsid w:val="001156CD"/>
    <w:rsid w:val="00115C2C"/>
    <w:rsid w:val="0011635D"/>
    <w:rsid w:val="001175E9"/>
    <w:rsid w:val="00120323"/>
    <w:rsid w:val="00120D42"/>
    <w:rsid w:val="001214F1"/>
    <w:rsid w:val="001216AB"/>
    <w:rsid w:val="00121D96"/>
    <w:rsid w:val="00121EE0"/>
    <w:rsid w:val="001239B2"/>
    <w:rsid w:val="00123CB7"/>
    <w:rsid w:val="00124190"/>
    <w:rsid w:val="001242EB"/>
    <w:rsid w:val="001248D7"/>
    <w:rsid w:val="00125241"/>
    <w:rsid w:val="00127B58"/>
    <w:rsid w:val="00130A4A"/>
    <w:rsid w:val="00130EAF"/>
    <w:rsid w:val="001316A7"/>
    <w:rsid w:val="001327FE"/>
    <w:rsid w:val="00132AE6"/>
    <w:rsid w:val="00133572"/>
    <w:rsid w:val="0013363C"/>
    <w:rsid w:val="001344FE"/>
    <w:rsid w:val="001350F6"/>
    <w:rsid w:val="001352C5"/>
    <w:rsid w:val="001355DE"/>
    <w:rsid w:val="00135948"/>
    <w:rsid w:val="0013652A"/>
    <w:rsid w:val="001379BE"/>
    <w:rsid w:val="00137A99"/>
    <w:rsid w:val="00137C52"/>
    <w:rsid w:val="0014037C"/>
    <w:rsid w:val="001409C5"/>
    <w:rsid w:val="00141350"/>
    <w:rsid w:val="001415FA"/>
    <w:rsid w:val="00141613"/>
    <w:rsid w:val="00141F06"/>
    <w:rsid w:val="0014372E"/>
    <w:rsid w:val="001439DB"/>
    <w:rsid w:val="00143ACB"/>
    <w:rsid w:val="00144749"/>
    <w:rsid w:val="00144B66"/>
    <w:rsid w:val="00144CAA"/>
    <w:rsid w:val="00144D54"/>
    <w:rsid w:val="001454FF"/>
    <w:rsid w:val="00145515"/>
    <w:rsid w:val="0014561A"/>
    <w:rsid w:val="001500EA"/>
    <w:rsid w:val="0015094D"/>
    <w:rsid w:val="00150B07"/>
    <w:rsid w:val="001511B1"/>
    <w:rsid w:val="001516F3"/>
    <w:rsid w:val="0015177F"/>
    <w:rsid w:val="00151D65"/>
    <w:rsid w:val="001521C6"/>
    <w:rsid w:val="00152B73"/>
    <w:rsid w:val="001530D4"/>
    <w:rsid w:val="00155346"/>
    <w:rsid w:val="00155A73"/>
    <w:rsid w:val="00156139"/>
    <w:rsid w:val="001569EE"/>
    <w:rsid w:val="00156B74"/>
    <w:rsid w:val="00156B88"/>
    <w:rsid w:val="001602EE"/>
    <w:rsid w:val="00161F3B"/>
    <w:rsid w:val="00162640"/>
    <w:rsid w:val="00162F50"/>
    <w:rsid w:val="00163339"/>
    <w:rsid w:val="00163E89"/>
    <w:rsid w:val="00164650"/>
    <w:rsid w:val="00165B18"/>
    <w:rsid w:val="00165C32"/>
    <w:rsid w:val="00166515"/>
    <w:rsid w:val="001668AD"/>
    <w:rsid w:val="00170326"/>
    <w:rsid w:val="001708AF"/>
    <w:rsid w:val="0017090F"/>
    <w:rsid w:val="0017145C"/>
    <w:rsid w:val="00172052"/>
    <w:rsid w:val="00172263"/>
    <w:rsid w:val="001725A5"/>
    <w:rsid w:val="00173857"/>
    <w:rsid w:val="00173870"/>
    <w:rsid w:val="001748DB"/>
    <w:rsid w:val="00175474"/>
    <w:rsid w:val="00175ACE"/>
    <w:rsid w:val="00176401"/>
    <w:rsid w:val="001765B5"/>
    <w:rsid w:val="00177CE0"/>
    <w:rsid w:val="00177E5C"/>
    <w:rsid w:val="00180363"/>
    <w:rsid w:val="0018099B"/>
    <w:rsid w:val="00181D3B"/>
    <w:rsid w:val="00181F3D"/>
    <w:rsid w:val="00182752"/>
    <w:rsid w:val="00184A3E"/>
    <w:rsid w:val="00185333"/>
    <w:rsid w:val="00185943"/>
    <w:rsid w:val="00185AFE"/>
    <w:rsid w:val="00185C0D"/>
    <w:rsid w:val="00185D78"/>
    <w:rsid w:val="00186224"/>
    <w:rsid w:val="0018670D"/>
    <w:rsid w:val="00186BCA"/>
    <w:rsid w:val="0019021C"/>
    <w:rsid w:val="0019027B"/>
    <w:rsid w:val="00190431"/>
    <w:rsid w:val="00191223"/>
    <w:rsid w:val="00191357"/>
    <w:rsid w:val="00191FF0"/>
    <w:rsid w:val="00192122"/>
    <w:rsid w:val="00192F85"/>
    <w:rsid w:val="00197054"/>
    <w:rsid w:val="001976A8"/>
    <w:rsid w:val="00197BA7"/>
    <w:rsid w:val="001A06D1"/>
    <w:rsid w:val="001A0719"/>
    <w:rsid w:val="001A0BC7"/>
    <w:rsid w:val="001A1308"/>
    <w:rsid w:val="001A1D6F"/>
    <w:rsid w:val="001A2244"/>
    <w:rsid w:val="001A25CB"/>
    <w:rsid w:val="001A2613"/>
    <w:rsid w:val="001A2C7C"/>
    <w:rsid w:val="001A2F5C"/>
    <w:rsid w:val="001A394B"/>
    <w:rsid w:val="001A4388"/>
    <w:rsid w:val="001A4448"/>
    <w:rsid w:val="001A489F"/>
    <w:rsid w:val="001A4E2E"/>
    <w:rsid w:val="001A4F3E"/>
    <w:rsid w:val="001A5D22"/>
    <w:rsid w:val="001A6132"/>
    <w:rsid w:val="001A6F0D"/>
    <w:rsid w:val="001A725E"/>
    <w:rsid w:val="001A7B5D"/>
    <w:rsid w:val="001B177E"/>
    <w:rsid w:val="001B2014"/>
    <w:rsid w:val="001B32B2"/>
    <w:rsid w:val="001B3F39"/>
    <w:rsid w:val="001B4CE0"/>
    <w:rsid w:val="001B513C"/>
    <w:rsid w:val="001B6FFC"/>
    <w:rsid w:val="001B7038"/>
    <w:rsid w:val="001B7305"/>
    <w:rsid w:val="001B760D"/>
    <w:rsid w:val="001C033A"/>
    <w:rsid w:val="001C06A0"/>
    <w:rsid w:val="001C08B8"/>
    <w:rsid w:val="001C093C"/>
    <w:rsid w:val="001C0975"/>
    <w:rsid w:val="001C13C9"/>
    <w:rsid w:val="001C2B60"/>
    <w:rsid w:val="001C2D92"/>
    <w:rsid w:val="001C2F27"/>
    <w:rsid w:val="001C3934"/>
    <w:rsid w:val="001C39F6"/>
    <w:rsid w:val="001C3E2C"/>
    <w:rsid w:val="001C437D"/>
    <w:rsid w:val="001C47BD"/>
    <w:rsid w:val="001C523C"/>
    <w:rsid w:val="001C60CF"/>
    <w:rsid w:val="001C6E02"/>
    <w:rsid w:val="001C78A0"/>
    <w:rsid w:val="001C78F4"/>
    <w:rsid w:val="001C7FF7"/>
    <w:rsid w:val="001D022C"/>
    <w:rsid w:val="001D0405"/>
    <w:rsid w:val="001D1B7D"/>
    <w:rsid w:val="001D1BBA"/>
    <w:rsid w:val="001D252B"/>
    <w:rsid w:val="001D26E7"/>
    <w:rsid w:val="001D3DAC"/>
    <w:rsid w:val="001D50F8"/>
    <w:rsid w:val="001D5543"/>
    <w:rsid w:val="001D64FA"/>
    <w:rsid w:val="001D651B"/>
    <w:rsid w:val="001D6647"/>
    <w:rsid w:val="001D67B2"/>
    <w:rsid w:val="001D6C59"/>
    <w:rsid w:val="001D7345"/>
    <w:rsid w:val="001D7DA3"/>
    <w:rsid w:val="001D7E37"/>
    <w:rsid w:val="001E038F"/>
    <w:rsid w:val="001E03C4"/>
    <w:rsid w:val="001E1682"/>
    <w:rsid w:val="001E21EC"/>
    <w:rsid w:val="001E2CD3"/>
    <w:rsid w:val="001E2F1C"/>
    <w:rsid w:val="001E3DF2"/>
    <w:rsid w:val="001E3FD3"/>
    <w:rsid w:val="001E46EC"/>
    <w:rsid w:val="001E4D1B"/>
    <w:rsid w:val="001E51D6"/>
    <w:rsid w:val="001E525D"/>
    <w:rsid w:val="001E58F6"/>
    <w:rsid w:val="001E61B3"/>
    <w:rsid w:val="001E7F5B"/>
    <w:rsid w:val="001F19A4"/>
    <w:rsid w:val="001F1FA5"/>
    <w:rsid w:val="001F20FA"/>
    <w:rsid w:val="001F294D"/>
    <w:rsid w:val="001F2AD6"/>
    <w:rsid w:val="001F2ADB"/>
    <w:rsid w:val="001F36DA"/>
    <w:rsid w:val="001F3A2B"/>
    <w:rsid w:val="001F419D"/>
    <w:rsid w:val="001F43D4"/>
    <w:rsid w:val="001F451B"/>
    <w:rsid w:val="001F4C23"/>
    <w:rsid w:val="001F4D37"/>
    <w:rsid w:val="001F4FD4"/>
    <w:rsid w:val="001F623C"/>
    <w:rsid w:val="001F68B5"/>
    <w:rsid w:val="001F6DF6"/>
    <w:rsid w:val="001F7430"/>
    <w:rsid w:val="00200113"/>
    <w:rsid w:val="002011E0"/>
    <w:rsid w:val="00202E46"/>
    <w:rsid w:val="00203E06"/>
    <w:rsid w:val="002041CB"/>
    <w:rsid w:val="00204B6F"/>
    <w:rsid w:val="00204CA1"/>
    <w:rsid w:val="00204CDD"/>
    <w:rsid w:val="00204D1D"/>
    <w:rsid w:val="00205089"/>
    <w:rsid w:val="002061A7"/>
    <w:rsid w:val="00207078"/>
    <w:rsid w:val="00207C09"/>
    <w:rsid w:val="00210169"/>
    <w:rsid w:val="00210DC9"/>
    <w:rsid w:val="00211BA2"/>
    <w:rsid w:val="00212092"/>
    <w:rsid w:val="00213A11"/>
    <w:rsid w:val="00214115"/>
    <w:rsid w:val="0021431B"/>
    <w:rsid w:val="00214DD8"/>
    <w:rsid w:val="00214EF4"/>
    <w:rsid w:val="00214F38"/>
    <w:rsid w:val="00215318"/>
    <w:rsid w:val="00215526"/>
    <w:rsid w:val="00216608"/>
    <w:rsid w:val="00216612"/>
    <w:rsid w:val="00216879"/>
    <w:rsid w:val="00217680"/>
    <w:rsid w:val="002203D7"/>
    <w:rsid w:val="00220F09"/>
    <w:rsid w:val="00220F67"/>
    <w:rsid w:val="002211C0"/>
    <w:rsid w:val="00222394"/>
    <w:rsid w:val="00222433"/>
    <w:rsid w:val="0022370C"/>
    <w:rsid w:val="00223E10"/>
    <w:rsid w:val="00224798"/>
    <w:rsid w:val="00225254"/>
    <w:rsid w:val="00225BD0"/>
    <w:rsid w:val="00226EDA"/>
    <w:rsid w:val="00227E37"/>
    <w:rsid w:val="002303DB"/>
    <w:rsid w:val="0023066E"/>
    <w:rsid w:val="0023106A"/>
    <w:rsid w:val="00231659"/>
    <w:rsid w:val="00231ACC"/>
    <w:rsid w:val="00232124"/>
    <w:rsid w:val="002330E0"/>
    <w:rsid w:val="002338D0"/>
    <w:rsid w:val="00233B86"/>
    <w:rsid w:val="00233D0E"/>
    <w:rsid w:val="00234747"/>
    <w:rsid w:val="00234F28"/>
    <w:rsid w:val="002352BB"/>
    <w:rsid w:val="00235599"/>
    <w:rsid w:val="0023567B"/>
    <w:rsid w:val="00235E44"/>
    <w:rsid w:val="002360D4"/>
    <w:rsid w:val="002379A5"/>
    <w:rsid w:val="00237CA4"/>
    <w:rsid w:val="00237E53"/>
    <w:rsid w:val="002407C0"/>
    <w:rsid w:val="00240DFE"/>
    <w:rsid w:val="00240FD6"/>
    <w:rsid w:val="00242F7B"/>
    <w:rsid w:val="0024372C"/>
    <w:rsid w:val="00243AD5"/>
    <w:rsid w:val="002442C5"/>
    <w:rsid w:val="00245D6F"/>
    <w:rsid w:val="00246315"/>
    <w:rsid w:val="00246C55"/>
    <w:rsid w:val="0024710A"/>
    <w:rsid w:val="00247141"/>
    <w:rsid w:val="002500EF"/>
    <w:rsid w:val="00250D7A"/>
    <w:rsid w:val="00251A0D"/>
    <w:rsid w:val="00251C5F"/>
    <w:rsid w:val="00251D77"/>
    <w:rsid w:val="00252198"/>
    <w:rsid w:val="002523E1"/>
    <w:rsid w:val="002533D4"/>
    <w:rsid w:val="002535FE"/>
    <w:rsid w:val="00253980"/>
    <w:rsid w:val="00253DC7"/>
    <w:rsid w:val="00254108"/>
    <w:rsid w:val="002542F6"/>
    <w:rsid w:val="0025432D"/>
    <w:rsid w:val="00254340"/>
    <w:rsid w:val="0025446B"/>
    <w:rsid w:val="002562C2"/>
    <w:rsid w:val="002564FF"/>
    <w:rsid w:val="0025672F"/>
    <w:rsid w:val="002607E8"/>
    <w:rsid w:val="00260914"/>
    <w:rsid w:val="002613AA"/>
    <w:rsid w:val="002619AC"/>
    <w:rsid w:val="002645D8"/>
    <w:rsid w:val="0026494C"/>
    <w:rsid w:val="0026529E"/>
    <w:rsid w:val="00265C27"/>
    <w:rsid w:val="00266C20"/>
    <w:rsid w:val="00266CCC"/>
    <w:rsid w:val="002672C5"/>
    <w:rsid w:val="0027352E"/>
    <w:rsid w:val="002738B2"/>
    <w:rsid w:val="00273E14"/>
    <w:rsid w:val="00274F53"/>
    <w:rsid w:val="0027507B"/>
    <w:rsid w:val="00280439"/>
    <w:rsid w:val="00280E3A"/>
    <w:rsid w:val="00281023"/>
    <w:rsid w:val="00281260"/>
    <w:rsid w:val="00281A01"/>
    <w:rsid w:val="00281B3A"/>
    <w:rsid w:val="002820D1"/>
    <w:rsid w:val="00282994"/>
    <w:rsid w:val="00282AD5"/>
    <w:rsid w:val="00282FAE"/>
    <w:rsid w:val="002839E8"/>
    <w:rsid w:val="00283ADF"/>
    <w:rsid w:val="002843AA"/>
    <w:rsid w:val="002865FA"/>
    <w:rsid w:val="002874A8"/>
    <w:rsid w:val="0028779D"/>
    <w:rsid w:val="0028788E"/>
    <w:rsid w:val="002905C0"/>
    <w:rsid w:val="00290B3F"/>
    <w:rsid w:val="0029116F"/>
    <w:rsid w:val="002918E9"/>
    <w:rsid w:val="00291B96"/>
    <w:rsid w:val="00291E22"/>
    <w:rsid w:val="002920AD"/>
    <w:rsid w:val="002921BA"/>
    <w:rsid w:val="00292231"/>
    <w:rsid w:val="00293D28"/>
    <w:rsid w:val="00293EAB"/>
    <w:rsid w:val="00294493"/>
    <w:rsid w:val="00294812"/>
    <w:rsid w:val="00294BF8"/>
    <w:rsid w:val="002960B0"/>
    <w:rsid w:val="00296715"/>
    <w:rsid w:val="00296FD1"/>
    <w:rsid w:val="00297693"/>
    <w:rsid w:val="00297F56"/>
    <w:rsid w:val="002A03AC"/>
    <w:rsid w:val="002A0D16"/>
    <w:rsid w:val="002A1700"/>
    <w:rsid w:val="002A17AC"/>
    <w:rsid w:val="002A1CBF"/>
    <w:rsid w:val="002A2D9D"/>
    <w:rsid w:val="002A42BD"/>
    <w:rsid w:val="002A4611"/>
    <w:rsid w:val="002A4634"/>
    <w:rsid w:val="002A4E39"/>
    <w:rsid w:val="002A4E96"/>
    <w:rsid w:val="002A4F90"/>
    <w:rsid w:val="002A50C4"/>
    <w:rsid w:val="002A581F"/>
    <w:rsid w:val="002A5A38"/>
    <w:rsid w:val="002A69E0"/>
    <w:rsid w:val="002B0271"/>
    <w:rsid w:val="002B0C9C"/>
    <w:rsid w:val="002B1169"/>
    <w:rsid w:val="002B1880"/>
    <w:rsid w:val="002B2FC2"/>
    <w:rsid w:val="002B4BE4"/>
    <w:rsid w:val="002B4D16"/>
    <w:rsid w:val="002B5029"/>
    <w:rsid w:val="002B5857"/>
    <w:rsid w:val="002B5F5E"/>
    <w:rsid w:val="002B67E1"/>
    <w:rsid w:val="002B7436"/>
    <w:rsid w:val="002B7E02"/>
    <w:rsid w:val="002B7EED"/>
    <w:rsid w:val="002C05CA"/>
    <w:rsid w:val="002C1887"/>
    <w:rsid w:val="002C199D"/>
    <w:rsid w:val="002C1FE1"/>
    <w:rsid w:val="002C24F9"/>
    <w:rsid w:val="002C3B2F"/>
    <w:rsid w:val="002C421C"/>
    <w:rsid w:val="002C44D1"/>
    <w:rsid w:val="002C6921"/>
    <w:rsid w:val="002C7430"/>
    <w:rsid w:val="002C7727"/>
    <w:rsid w:val="002D0614"/>
    <w:rsid w:val="002D0951"/>
    <w:rsid w:val="002D0DE3"/>
    <w:rsid w:val="002D3604"/>
    <w:rsid w:val="002D37EE"/>
    <w:rsid w:val="002D43E5"/>
    <w:rsid w:val="002D56CE"/>
    <w:rsid w:val="002D679C"/>
    <w:rsid w:val="002D6E57"/>
    <w:rsid w:val="002E01D5"/>
    <w:rsid w:val="002E06F0"/>
    <w:rsid w:val="002E08DB"/>
    <w:rsid w:val="002E0993"/>
    <w:rsid w:val="002E2549"/>
    <w:rsid w:val="002E2B79"/>
    <w:rsid w:val="002E34A4"/>
    <w:rsid w:val="002E3919"/>
    <w:rsid w:val="002E409D"/>
    <w:rsid w:val="002E4CE3"/>
    <w:rsid w:val="002E5608"/>
    <w:rsid w:val="002E64B5"/>
    <w:rsid w:val="002E6C7B"/>
    <w:rsid w:val="002E6C80"/>
    <w:rsid w:val="002E71C9"/>
    <w:rsid w:val="002E744F"/>
    <w:rsid w:val="002F0609"/>
    <w:rsid w:val="002F0E5B"/>
    <w:rsid w:val="002F2600"/>
    <w:rsid w:val="002F2827"/>
    <w:rsid w:val="002F3119"/>
    <w:rsid w:val="002F34AF"/>
    <w:rsid w:val="002F3960"/>
    <w:rsid w:val="002F449F"/>
    <w:rsid w:val="002F4D48"/>
    <w:rsid w:val="002F5677"/>
    <w:rsid w:val="002F665F"/>
    <w:rsid w:val="002F67A0"/>
    <w:rsid w:val="002F7076"/>
    <w:rsid w:val="002F759C"/>
    <w:rsid w:val="002F76A3"/>
    <w:rsid w:val="002F7E76"/>
    <w:rsid w:val="00300618"/>
    <w:rsid w:val="00300D57"/>
    <w:rsid w:val="00301401"/>
    <w:rsid w:val="00301507"/>
    <w:rsid w:val="0030162A"/>
    <w:rsid w:val="00301F22"/>
    <w:rsid w:val="00302CD1"/>
    <w:rsid w:val="00303074"/>
    <w:rsid w:val="0030346B"/>
    <w:rsid w:val="00303985"/>
    <w:rsid w:val="00303CBD"/>
    <w:rsid w:val="00303D7B"/>
    <w:rsid w:val="00305E8E"/>
    <w:rsid w:val="00306981"/>
    <w:rsid w:val="00306A36"/>
    <w:rsid w:val="00306B5A"/>
    <w:rsid w:val="00307555"/>
    <w:rsid w:val="00310081"/>
    <w:rsid w:val="003103BA"/>
    <w:rsid w:val="00310561"/>
    <w:rsid w:val="00310B0E"/>
    <w:rsid w:val="00310BDC"/>
    <w:rsid w:val="00310C06"/>
    <w:rsid w:val="00311559"/>
    <w:rsid w:val="003115B5"/>
    <w:rsid w:val="003117BA"/>
    <w:rsid w:val="003124C2"/>
    <w:rsid w:val="00312B86"/>
    <w:rsid w:val="00314047"/>
    <w:rsid w:val="00314920"/>
    <w:rsid w:val="00315915"/>
    <w:rsid w:val="00315FAF"/>
    <w:rsid w:val="003174E7"/>
    <w:rsid w:val="00317735"/>
    <w:rsid w:val="00317D73"/>
    <w:rsid w:val="0032090D"/>
    <w:rsid w:val="003211F5"/>
    <w:rsid w:val="003218B9"/>
    <w:rsid w:val="003221D6"/>
    <w:rsid w:val="0032253D"/>
    <w:rsid w:val="00322583"/>
    <w:rsid w:val="00322DFD"/>
    <w:rsid w:val="00323023"/>
    <w:rsid w:val="00323149"/>
    <w:rsid w:val="0032327B"/>
    <w:rsid w:val="00323E17"/>
    <w:rsid w:val="003241EE"/>
    <w:rsid w:val="00324E9E"/>
    <w:rsid w:val="0032555D"/>
    <w:rsid w:val="00325C88"/>
    <w:rsid w:val="00325D8F"/>
    <w:rsid w:val="003265A1"/>
    <w:rsid w:val="003271D1"/>
    <w:rsid w:val="003271FB"/>
    <w:rsid w:val="00327A37"/>
    <w:rsid w:val="00327ECD"/>
    <w:rsid w:val="00330051"/>
    <w:rsid w:val="00330AD6"/>
    <w:rsid w:val="00330D74"/>
    <w:rsid w:val="00331090"/>
    <w:rsid w:val="003310B7"/>
    <w:rsid w:val="0033163E"/>
    <w:rsid w:val="00331826"/>
    <w:rsid w:val="003318F0"/>
    <w:rsid w:val="00332FE6"/>
    <w:rsid w:val="003330A0"/>
    <w:rsid w:val="003338F2"/>
    <w:rsid w:val="00333931"/>
    <w:rsid w:val="00335432"/>
    <w:rsid w:val="00335DC2"/>
    <w:rsid w:val="00335DC4"/>
    <w:rsid w:val="00336DC7"/>
    <w:rsid w:val="00336E9B"/>
    <w:rsid w:val="003376E3"/>
    <w:rsid w:val="00337E85"/>
    <w:rsid w:val="00340926"/>
    <w:rsid w:val="00340C55"/>
    <w:rsid w:val="00340C7E"/>
    <w:rsid w:val="00341070"/>
    <w:rsid w:val="00345052"/>
    <w:rsid w:val="003453AC"/>
    <w:rsid w:val="0034563F"/>
    <w:rsid w:val="00345A4C"/>
    <w:rsid w:val="00345B2E"/>
    <w:rsid w:val="0034614F"/>
    <w:rsid w:val="003463FC"/>
    <w:rsid w:val="00346D55"/>
    <w:rsid w:val="00346E11"/>
    <w:rsid w:val="003472B4"/>
    <w:rsid w:val="003503BD"/>
    <w:rsid w:val="00350531"/>
    <w:rsid w:val="00350AA9"/>
    <w:rsid w:val="0035165A"/>
    <w:rsid w:val="00354663"/>
    <w:rsid w:val="0035466A"/>
    <w:rsid w:val="00354970"/>
    <w:rsid w:val="00354CEC"/>
    <w:rsid w:val="0035513B"/>
    <w:rsid w:val="003577F8"/>
    <w:rsid w:val="00361430"/>
    <w:rsid w:val="00362044"/>
    <w:rsid w:val="00362CEA"/>
    <w:rsid w:val="00362F0D"/>
    <w:rsid w:val="00363B66"/>
    <w:rsid w:val="0036427D"/>
    <w:rsid w:val="00364738"/>
    <w:rsid w:val="00364A4B"/>
    <w:rsid w:val="00365503"/>
    <w:rsid w:val="0036572F"/>
    <w:rsid w:val="00367584"/>
    <w:rsid w:val="0037025F"/>
    <w:rsid w:val="0037040D"/>
    <w:rsid w:val="003704EB"/>
    <w:rsid w:val="00370618"/>
    <w:rsid w:val="00370623"/>
    <w:rsid w:val="00371A6F"/>
    <w:rsid w:val="00371E11"/>
    <w:rsid w:val="003727CE"/>
    <w:rsid w:val="003729CA"/>
    <w:rsid w:val="00372C3A"/>
    <w:rsid w:val="00373BF3"/>
    <w:rsid w:val="00373FDD"/>
    <w:rsid w:val="0037440B"/>
    <w:rsid w:val="003747CB"/>
    <w:rsid w:val="003755A2"/>
    <w:rsid w:val="00375897"/>
    <w:rsid w:val="00375E50"/>
    <w:rsid w:val="003762DE"/>
    <w:rsid w:val="003807F5"/>
    <w:rsid w:val="00383218"/>
    <w:rsid w:val="00383420"/>
    <w:rsid w:val="00383B33"/>
    <w:rsid w:val="00384DFB"/>
    <w:rsid w:val="00385747"/>
    <w:rsid w:val="00387BEC"/>
    <w:rsid w:val="00390187"/>
    <w:rsid w:val="003905B2"/>
    <w:rsid w:val="00391369"/>
    <w:rsid w:val="00391FBF"/>
    <w:rsid w:val="00392F18"/>
    <w:rsid w:val="00394529"/>
    <w:rsid w:val="00394C75"/>
    <w:rsid w:val="00396456"/>
    <w:rsid w:val="00396D23"/>
    <w:rsid w:val="003976BE"/>
    <w:rsid w:val="003A0AF2"/>
    <w:rsid w:val="003A0C14"/>
    <w:rsid w:val="003A1149"/>
    <w:rsid w:val="003A1690"/>
    <w:rsid w:val="003A236C"/>
    <w:rsid w:val="003A38E8"/>
    <w:rsid w:val="003A456D"/>
    <w:rsid w:val="003A4B10"/>
    <w:rsid w:val="003A558C"/>
    <w:rsid w:val="003A5D36"/>
    <w:rsid w:val="003A6D58"/>
    <w:rsid w:val="003B06A8"/>
    <w:rsid w:val="003B0AB6"/>
    <w:rsid w:val="003B0C91"/>
    <w:rsid w:val="003B0F7E"/>
    <w:rsid w:val="003B1928"/>
    <w:rsid w:val="003B1D1B"/>
    <w:rsid w:val="003B1F1E"/>
    <w:rsid w:val="003B23E9"/>
    <w:rsid w:val="003B2875"/>
    <w:rsid w:val="003B2F30"/>
    <w:rsid w:val="003B2F6E"/>
    <w:rsid w:val="003B3A16"/>
    <w:rsid w:val="003B4149"/>
    <w:rsid w:val="003B48C2"/>
    <w:rsid w:val="003B562D"/>
    <w:rsid w:val="003B5A1E"/>
    <w:rsid w:val="003B685C"/>
    <w:rsid w:val="003B6CCD"/>
    <w:rsid w:val="003B6D63"/>
    <w:rsid w:val="003B70BA"/>
    <w:rsid w:val="003B7367"/>
    <w:rsid w:val="003B73B4"/>
    <w:rsid w:val="003C05A6"/>
    <w:rsid w:val="003C0F88"/>
    <w:rsid w:val="003C11E8"/>
    <w:rsid w:val="003C1C19"/>
    <w:rsid w:val="003C31A2"/>
    <w:rsid w:val="003C3EBE"/>
    <w:rsid w:val="003C4EC5"/>
    <w:rsid w:val="003C5781"/>
    <w:rsid w:val="003C5D40"/>
    <w:rsid w:val="003C62FE"/>
    <w:rsid w:val="003D109E"/>
    <w:rsid w:val="003D17AE"/>
    <w:rsid w:val="003D2518"/>
    <w:rsid w:val="003D2A74"/>
    <w:rsid w:val="003D3566"/>
    <w:rsid w:val="003D360D"/>
    <w:rsid w:val="003D3A2E"/>
    <w:rsid w:val="003D3DBF"/>
    <w:rsid w:val="003D3E3F"/>
    <w:rsid w:val="003D3E74"/>
    <w:rsid w:val="003D4515"/>
    <w:rsid w:val="003D4F97"/>
    <w:rsid w:val="003D5156"/>
    <w:rsid w:val="003D5185"/>
    <w:rsid w:val="003D7277"/>
    <w:rsid w:val="003D7DF1"/>
    <w:rsid w:val="003E02DB"/>
    <w:rsid w:val="003E0D16"/>
    <w:rsid w:val="003E117A"/>
    <w:rsid w:val="003E2EC3"/>
    <w:rsid w:val="003E38B0"/>
    <w:rsid w:val="003E3B07"/>
    <w:rsid w:val="003E442D"/>
    <w:rsid w:val="003E4768"/>
    <w:rsid w:val="003E502A"/>
    <w:rsid w:val="003E5913"/>
    <w:rsid w:val="003E5BE3"/>
    <w:rsid w:val="003E651E"/>
    <w:rsid w:val="003E65BA"/>
    <w:rsid w:val="003E7B1D"/>
    <w:rsid w:val="003F1167"/>
    <w:rsid w:val="003F159F"/>
    <w:rsid w:val="003F17CF"/>
    <w:rsid w:val="003F1D6A"/>
    <w:rsid w:val="003F1E7F"/>
    <w:rsid w:val="003F271F"/>
    <w:rsid w:val="003F37BD"/>
    <w:rsid w:val="003F3AC2"/>
    <w:rsid w:val="003F3D1D"/>
    <w:rsid w:val="003F3F4B"/>
    <w:rsid w:val="003F4BE9"/>
    <w:rsid w:val="003F568C"/>
    <w:rsid w:val="003F642A"/>
    <w:rsid w:val="003F67CB"/>
    <w:rsid w:val="003F7188"/>
    <w:rsid w:val="003F7345"/>
    <w:rsid w:val="003F7DC0"/>
    <w:rsid w:val="00400126"/>
    <w:rsid w:val="00400269"/>
    <w:rsid w:val="00400382"/>
    <w:rsid w:val="00401283"/>
    <w:rsid w:val="004022F5"/>
    <w:rsid w:val="004026C5"/>
    <w:rsid w:val="004031EC"/>
    <w:rsid w:val="00403D9E"/>
    <w:rsid w:val="0040490A"/>
    <w:rsid w:val="004052F3"/>
    <w:rsid w:val="00405583"/>
    <w:rsid w:val="00405CF0"/>
    <w:rsid w:val="0040658F"/>
    <w:rsid w:val="00407A45"/>
    <w:rsid w:val="00410422"/>
    <w:rsid w:val="0041261F"/>
    <w:rsid w:val="0041262A"/>
    <w:rsid w:val="00412F9D"/>
    <w:rsid w:val="0041373E"/>
    <w:rsid w:val="00413766"/>
    <w:rsid w:val="00413850"/>
    <w:rsid w:val="00413C9D"/>
    <w:rsid w:val="00413E15"/>
    <w:rsid w:val="0041438D"/>
    <w:rsid w:val="004145A0"/>
    <w:rsid w:val="004146A9"/>
    <w:rsid w:val="004158F6"/>
    <w:rsid w:val="004159B9"/>
    <w:rsid w:val="00415F24"/>
    <w:rsid w:val="004161F9"/>
    <w:rsid w:val="004164BB"/>
    <w:rsid w:val="00416B67"/>
    <w:rsid w:val="00416CB7"/>
    <w:rsid w:val="00417F8D"/>
    <w:rsid w:val="00420177"/>
    <w:rsid w:val="00420E1B"/>
    <w:rsid w:val="004212DB"/>
    <w:rsid w:val="004219A8"/>
    <w:rsid w:val="004227CF"/>
    <w:rsid w:val="004240BA"/>
    <w:rsid w:val="0042461A"/>
    <w:rsid w:val="00424A3F"/>
    <w:rsid w:val="00424BBF"/>
    <w:rsid w:val="00424D47"/>
    <w:rsid w:val="0042507A"/>
    <w:rsid w:val="00425173"/>
    <w:rsid w:val="004261DC"/>
    <w:rsid w:val="004265D2"/>
    <w:rsid w:val="00427885"/>
    <w:rsid w:val="00430D47"/>
    <w:rsid w:val="004329B1"/>
    <w:rsid w:val="00433F4F"/>
    <w:rsid w:val="004351B8"/>
    <w:rsid w:val="00435233"/>
    <w:rsid w:val="004356C1"/>
    <w:rsid w:val="00435926"/>
    <w:rsid w:val="004368EF"/>
    <w:rsid w:val="004370D1"/>
    <w:rsid w:val="00437703"/>
    <w:rsid w:val="0043790E"/>
    <w:rsid w:val="004400F4"/>
    <w:rsid w:val="004406F4"/>
    <w:rsid w:val="00440981"/>
    <w:rsid w:val="004409A5"/>
    <w:rsid w:val="00440DEE"/>
    <w:rsid w:val="00441739"/>
    <w:rsid w:val="00441A48"/>
    <w:rsid w:val="00442884"/>
    <w:rsid w:val="00442E9C"/>
    <w:rsid w:val="00442EE1"/>
    <w:rsid w:val="004436AA"/>
    <w:rsid w:val="00443719"/>
    <w:rsid w:val="004438E0"/>
    <w:rsid w:val="00443E59"/>
    <w:rsid w:val="004440A8"/>
    <w:rsid w:val="00444132"/>
    <w:rsid w:val="00444CFA"/>
    <w:rsid w:val="00445CA4"/>
    <w:rsid w:val="004460BA"/>
    <w:rsid w:val="004462CE"/>
    <w:rsid w:val="00446A9D"/>
    <w:rsid w:val="00447185"/>
    <w:rsid w:val="0045052C"/>
    <w:rsid w:val="00451244"/>
    <w:rsid w:val="0045194A"/>
    <w:rsid w:val="0045230B"/>
    <w:rsid w:val="00452508"/>
    <w:rsid w:val="004525D4"/>
    <w:rsid w:val="00453044"/>
    <w:rsid w:val="00453203"/>
    <w:rsid w:val="0045355B"/>
    <w:rsid w:val="00453BCE"/>
    <w:rsid w:val="004549D1"/>
    <w:rsid w:val="004552E2"/>
    <w:rsid w:val="00455D32"/>
    <w:rsid w:val="004565DB"/>
    <w:rsid w:val="004566D8"/>
    <w:rsid w:val="004573E8"/>
    <w:rsid w:val="00457F1A"/>
    <w:rsid w:val="0046020C"/>
    <w:rsid w:val="004604AB"/>
    <w:rsid w:val="00461C16"/>
    <w:rsid w:val="00461CF1"/>
    <w:rsid w:val="0046203E"/>
    <w:rsid w:val="00462B86"/>
    <w:rsid w:val="00462ED4"/>
    <w:rsid w:val="004635F2"/>
    <w:rsid w:val="00463820"/>
    <w:rsid w:val="00463E7E"/>
    <w:rsid w:val="00464862"/>
    <w:rsid w:val="00465CBA"/>
    <w:rsid w:val="00465CE4"/>
    <w:rsid w:val="00466A07"/>
    <w:rsid w:val="00467214"/>
    <w:rsid w:val="004674A7"/>
    <w:rsid w:val="0046753A"/>
    <w:rsid w:val="00470826"/>
    <w:rsid w:val="0047105D"/>
    <w:rsid w:val="004716B2"/>
    <w:rsid w:val="00472CB2"/>
    <w:rsid w:val="00473220"/>
    <w:rsid w:val="00474F72"/>
    <w:rsid w:val="004754AD"/>
    <w:rsid w:val="00475B31"/>
    <w:rsid w:val="00476E38"/>
    <w:rsid w:val="004771F3"/>
    <w:rsid w:val="004801FC"/>
    <w:rsid w:val="00480F4C"/>
    <w:rsid w:val="00481311"/>
    <w:rsid w:val="00481810"/>
    <w:rsid w:val="00481B63"/>
    <w:rsid w:val="00481FEC"/>
    <w:rsid w:val="004822F3"/>
    <w:rsid w:val="00483437"/>
    <w:rsid w:val="00483609"/>
    <w:rsid w:val="00483D8F"/>
    <w:rsid w:val="004847E8"/>
    <w:rsid w:val="004848A8"/>
    <w:rsid w:val="00484E0E"/>
    <w:rsid w:val="004855AE"/>
    <w:rsid w:val="0048576A"/>
    <w:rsid w:val="004869A4"/>
    <w:rsid w:val="00486C16"/>
    <w:rsid w:val="0048705E"/>
    <w:rsid w:val="0048743B"/>
    <w:rsid w:val="00491029"/>
    <w:rsid w:val="00491419"/>
    <w:rsid w:val="004915D0"/>
    <w:rsid w:val="00492F3E"/>
    <w:rsid w:val="00493B27"/>
    <w:rsid w:val="00493FDB"/>
    <w:rsid w:val="004955EB"/>
    <w:rsid w:val="004957F3"/>
    <w:rsid w:val="00495F70"/>
    <w:rsid w:val="0049618C"/>
    <w:rsid w:val="00496DE1"/>
    <w:rsid w:val="004A0862"/>
    <w:rsid w:val="004A0A68"/>
    <w:rsid w:val="004A1E23"/>
    <w:rsid w:val="004A2980"/>
    <w:rsid w:val="004A308E"/>
    <w:rsid w:val="004A30CD"/>
    <w:rsid w:val="004A3342"/>
    <w:rsid w:val="004A33F6"/>
    <w:rsid w:val="004A4733"/>
    <w:rsid w:val="004A494F"/>
    <w:rsid w:val="004A4E8C"/>
    <w:rsid w:val="004A515A"/>
    <w:rsid w:val="004A755B"/>
    <w:rsid w:val="004A76BA"/>
    <w:rsid w:val="004B0029"/>
    <w:rsid w:val="004B00F8"/>
    <w:rsid w:val="004B0198"/>
    <w:rsid w:val="004B078D"/>
    <w:rsid w:val="004B09DD"/>
    <w:rsid w:val="004B1FBB"/>
    <w:rsid w:val="004B23E3"/>
    <w:rsid w:val="004B25AF"/>
    <w:rsid w:val="004B2D46"/>
    <w:rsid w:val="004B3D24"/>
    <w:rsid w:val="004B4175"/>
    <w:rsid w:val="004B4377"/>
    <w:rsid w:val="004B4F1E"/>
    <w:rsid w:val="004B5D5D"/>
    <w:rsid w:val="004B6B75"/>
    <w:rsid w:val="004B6E2E"/>
    <w:rsid w:val="004B71AA"/>
    <w:rsid w:val="004B73C0"/>
    <w:rsid w:val="004B7611"/>
    <w:rsid w:val="004B77CC"/>
    <w:rsid w:val="004B7908"/>
    <w:rsid w:val="004C099A"/>
    <w:rsid w:val="004C099C"/>
    <w:rsid w:val="004C129C"/>
    <w:rsid w:val="004C1D34"/>
    <w:rsid w:val="004C2214"/>
    <w:rsid w:val="004C2C9E"/>
    <w:rsid w:val="004C30A3"/>
    <w:rsid w:val="004C43CA"/>
    <w:rsid w:val="004C47FE"/>
    <w:rsid w:val="004C562C"/>
    <w:rsid w:val="004C5B41"/>
    <w:rsid w:val="004C5F65"/>
    <w:rsid w:val="004C674D"/>
    <w:rsid w:val="004C688D"/>
    <w:rsid w:val="004C6D20"/>
    <w:rsid w:val="004C7043"/>
    <w:rsid w:val="004C745E"/>
    <w:rsid w:val="004C7465"/>
    <w:rsid w:val="004C74CA"/>
    <w:rsid w:val="004C7989"/>
    <w:rsid w:val="004D0685"/>
    <w:rsid w:val="004D1145"/>
    <w:rsid w:val="004D2943"/>
    <w:rsid w:val="004D2B10"/>
    <w:rsid w:val="004D2BA4"/>
    <w:rsid w:val="004D316B"/>
    <w:rsid w:val="004D373B"/>
    <w:rsid w:val="004D37CD"/>
    <w:rsid w:val="004D39A2"/>
    <w:rsid w:val="004D4CA3"/>
    <w:rsid w:val="004D5DB8"/>
    <w:rsid w:val="004D5EE4"/>
    <w:rsid w:val="004D691D"/>
    <w:rsid w:val="004E0C7A"/>
    <w:rsid w:val="004E12CB"/>
    <w:rsid w:val="004E1D50"/>
    <w:rsid w:val="004E1D7E"/>
    <w:rsid w:val="004E1F88"/>
    <w:rsid w:val="004E339D"/>
    <w:rsid w:val="004E3FFE"/>
    <w:rsid w:val="004E42FC"/>
    <w:rsid w:val="004E4850"/>
    <w:rsid w:val="004E4C0A"/>
    <w:rsid w:val="004E4ECA"/>
    <w:rsid w:val="004E547D"/>
    <w:rsid w:val="004E70EE"/>
    <w:rsid w:val="004E712E"/>
    <w:rsid w:val="004F180C"/>
    <w:rsid w:val="004F1FF7"/>
    <w:rsid w:val="004F2BBE"/>
    <w:rsid w:val="004F37BF"/>
    <w:rsid w:val="004F41E8"/>
    <w:rsid w:val="004F4895"/>
    <w:rsid w:val="004F5887"/>
    <w:rsid w:val="004F5DD3"/>
    <w:rsid w:val="004F70D9"/>
    <w:rsid w:val="005007AE"/>
    <w:rsid w:val="005007B4"/>
    <w:rsid w:val="00500C8C"/>
    <w:rsid w:val="00501501"/>
    <w:rsid w:val="0050154E"/>
    <w:rsid w:val="0050154F"/>
    <w:rsid w:val="00502A3E"/>
    <w:rsid w:val="00502D4D"/>
    <w:rsid w:val="00503F9F"/>
    <w:rsid w:val="0050446C"/>
    <w:rsid w:val="005045A5"/>
    <w:rsid w:val="005047C7"/>
    <w:rsid w:val="00504AEF"/>
    <w:rsid w:val="00504FBC"/>
    <w:rsid w:val="00504FF5"/>
    <w:rsid w:val="0050619C"/>
    <w:rsid w:val="005069BA"/>
    <w:rsid w:val="00506D61"/>
    <w:rsid w:val="005075E0"/>
    <w:rsid w:val="0051114E"/>
    <w:rsid w:val="00511295"/>
    <w:rsid w:val="00512966"/>
    <w:rsid w:val="005137A8"/>
    <w:rsid w:val="00513CEC"/>
    <w:rsid w:val="00513D80"/>
    <w:rsid w:val="00515140"/>
    <w:rsid w:val="00516052"/>
    <w:rsid w:val="005163ED"/>
    <w:rsid w:val="00516BDA"/>
    <w:rsid w:val="0051770D"/>
    <w:rsid w:val="00517848"/>
    <w:rsid w:val="00520DE1"/>
    <w:rsid w:val="00520F81"/>
    <w:rsid w:val="0052136D"/>
    <w:rsid w:val="00521785"/>
    <w:rsid w:val="00523437"/>
    <w:rsid w:val="00523522"/>
    <w:rsid w:val="005248C2"/>
    <w:rsid w:val="00524D99"/>
    <w:rsid w:val="0052501C"/>
    <w:rsid w:val="00525C74"/>
    <w:rsid w:val="00526300"/>
    <w:rsid w:val="00526B2B"/>
    <w:rsid w:val="00527A13"/>
    <w:rsid w:val="0053062C"/>
    <w:rsid w:val="005309D6"/>
    <w:rsid w:val="00531A40"/>
    <w:rsid w:val="00531CC7"/>
    <w:rsid w:val="0053265C"/>
    <w:rsid w:val="00532F35"/>
    <w:rsid w:val="00533820"/>
    <w:rsid w:val="00533905"/>
    <w:rsid w:val="00533E83"/>
    <w:rsid w:val="005348E2"/>
    <w:rsid w:val="00534B2C"/>
    <w:rsid w:val="00534BA1"/>
    <w:rsid w:val="005352D5"/>
    <w:rsid w:val="0053545E"/>
    <w:rsid w:val="005357E0"/>
    <w:rsid w:val="00535C62"/>
    <w:rsid w:val="005367B7"/>
    <w:rsid w:val="005375CD"/>
    <w:rsid w:val="00540369"/>
    <w:rsid w:val="005414F4"/>
    <w:rsid w:val="005416D2"/>
    <w:rsid w:val="0054205B"/>
    <w:rsid w:val="00542C74"/>
    <w:rsid w:val="00543009"/>
    <w:rsid w:val="005433BC"/>
    <w:rsid w:val="005434DE"/>
    <w:rsid w:val="005442D0"/>
    <w:rsid w:val="005444B1"/>
    <w:rsid w:val="00544E31"/>
    <w:rsid w:val="00546064"/>
    <w:rsid w:val="00547239"/>
    <w:rsid w:val="00547824"/>
    <w:rsid w:val="00547E66"/>
    <w:rsid w:val="00550381"/>
    <w:rsid w:val="005516A6"/>
    <w:rsid w:val="00552DD8"/>
    <w:rsid w:val="00553391"/>
    <w:rsid w:val="005534AE"/>
    <w:rsid w:val="00553908"/>
    <w:rsid w:val="005543A5"/>
    <w:rsid w:val="00555A09"/>
    <w:rsid w:val="00556138"/>
    <w:rsid w:val="005564CB"/>
    <w:rsid w:val="005568CD"/>
    <w:rsid w:val="0055761B"/>
    <w:rsid w:val="00557A17"/>
    <w:rsid w:val="00557E1F"/>
    <w:rsid w:val="005610C1"/>
    <w:rsid w:val="0056134D"/>
    <w:rsid w:val="0056159A"/>
    <w:rsid w:val="00562FEC"/>
    <w:rsid w:val="00564053"/>
    <w:rsid w:val="005649A7"/>
    <w:rsid w:val="005663C8"/>
    <w:rsid w:val="00566602"/>
    <w:rsid w:val="005669C6"/>
    <w:rsid w:val="00567C18"/>
    <w:rsid w:val="00567E54"/>
    <w:rsid w:val="00567FE7"/>
    <w:rsid w:val="00570DA9"/>
    <w:rsid w:val="00571200"/>
    <w:rsid w:val="0057266A"/>
    <w:rsid w:val="005728D3"/>
    <w:rsid w:val="00572A67"/>
    <w:rsid w:val="0057337E"/>
    <w:rsid w:val="00573CFF"/>
    <w:rsid w:val="00573F32"/>
    <w:rsid w:val="005745D4"/>
    <w:rsid w:val="00574639"/>
    <w:rsid w:val="0057484A"/>
    <w:rsid w:val="005758DE"/>
    <w:rsid w:val="00575B53"/>
    <w:rsid w:val="00576A59"/>
    <w:rsid w:val="00577284"/>
    <w:rsid w:val="0057764C"/>
    <w:rsid w:val="005778D9"/>
    <w:rsid w:val="00577A16"/>
    <w:rsid w:val="00577B3C"/>
    <w:rsid w:val="00580084"/>
    <w:rsid w:val="005807B7"/>
    <w:rsid w:val="00580B73"/>
    <w:rsid w:val="00580C64"/>
    <w:rsid w:val="0058133A"/>
    <w:rsid w:val="0058223D"/>
    <w:rsid w:val="0058370F"/>
    <w:rsid w:val="00583894"/>
    <w:rsid w:val="005848F8"/>
    <w:rsid w:val="0058516F"/>
    <w:rsid w:val="005851AE"/>
    <w:rsid w:val="00586E55"/>
    <w:rsid w:val="00586FE6"/>
    <w:rsid w:val="00590208"/>
    <w:rsid w:val="005924E0"/>
    <w:rsid w:val="005931DB"/>
    <w:rsid w:val="00593A6C"/>
    <w:rsid w:val="00593B66"/>
    <w:rsid w:val="00593F50"/>
    <w:rsid w:val="00594B20"/>
    <w:rsid w:val="00595BB9"/>
    <w:rsid w:val="00596C08"/>
    <w:rsid w:val="0059719D"/>
    <w:rsid w:val="0059799A"/>
    <w:rsid w:val="00597D94"/>
    <w:rsid w:val="00597DD5"/>
    <w:rsid w:val="005A06AD"/>
    <w:rsid w:val="005A1E82"/>
    <w:rsid w:val="005A1FC2"/>
    <w:rsid w:val="005A2098"/>
    <w:rsid w:val="005A2189"/>
    <w:rsid w:val="005A2B92"/>
    <w:rsid w:val="005A3064"/>
    <w:rsid w:val="005A4BF2"/>
    <w:rsid w:val="005A5DE7"/>
    <w:rsid w:val="005A6453"/>
    <w:rsid w:val="005A715D"/>
    <w:rsid w:val="005A7214"/>
    <w:rsid w:val="005A7E7B"/>
    <w:rsid w:val="005B08CD"/>
    <w:rsid w:val="005B1446"/>
    <w:rsid w:val="005B1523"/>
    <w:rsid w:val="005B1945"/>
    <w:rsid w:val="005B314D"/>
    <w:rsid w:val="005B4811"/>
    <w:rsid w:val="005B4B6F"/>
    <w:rsid w:val="005B5A01"/>
    <w:rsid w:val="005B5CFB"/>
    <w:rsid w:val="005B6145"/>
    <w:rsid w:val="005B63FB"/>
    <w:rsid w:val="005B7411"/>
    <w:rsid w:val="005C05D1"/>
    <w:rsid w:val="005C0C0B"/>
    <w:rsid w:val="005C145C"/>
    <w:rsid w:val="005C2319"/>
    <w:rsid w:val="005C2620"/>
    <w:rsid w:val="005C361E"/>
    <w:rsid w:val="005C367E"/>
    <w:rsid w:val="005C46D6"/>
    <w:rsid w:val="005C4DC9"/>
    <w:rsid w:val="005C51FD"/>
    <w:rsid w:val="005C6B5A"/>
    <w:rsid w:val="005D0381"/>
    <w:rsid w:val="005D09A4"/>
    <w:rsid w:val="005D0CAE"/>
    <w:rsid w:val="005D135B"/>
    <w:rsid w:val="005D1E1D"/>
    <w:rsid w:val="005D2143"/>
    <w:rsid w:val="005D38DB"/>
    <w:rsid w:val="005D40E1"/>
    <w:rsid w:val="005D4707"/>
    <w:rsid w:val="005D520A"/>
    <w:rsid w:val="005D692E"/>
    <w:rsid w:val="005D6C30"/>
    <w:rsid w:val="005D6DD1"/>
    <w:rsid w:val="005D718E"/>
    <w:rsid w:val="005D73EF"/>
    <w:rsid w:val="005D7D09"/>
    <w:rsid w:val="005E0D1A"/>
    <w:rsid w:val="005E1217"/>
    <w:rsid w:val="005E4519"/>
    <w:rsid w:val="005E5254"/>
    <w:rsid w:val="005E53A2"/>
    <w:rsid w:val="005E5BAF"/>
    <w:rsid w:val="005E5CAB"/>
    <w:rsid w:val="005E6210"/>
    <w:rsid w:val="005E6581"/>
    <w:rsid w:val="005E7FBB"/>
    <w:rsid w:val="005F0126"/>
    <w:rsid w:val="005F0275"/>
    <w:rsid w:val="005F0C2E"/>
    <w:rsid w:val="005F13F8"/>
    <w:rsid w:val="005F1943"/>
    <w:rsid w:val="005F21BF"/>
    <w:rsid w:val="005F2A16"/>
    <w:rsid w:val="005F3209"/>
    <w:rsid w:val="005F4A26"/>
    <w:rsid w:val="005F59DB"/>
    <w:rsid w:val="005F71A9"/>
    <w:rsid w:val="005F7228"/>
    <w:rsid w:val="005F78A1"/>
    <w:rsid w:val="005F7B24"/>
    <w:rsid w:val="00600717"/>
    <w:rsid w:val="00600CA6"/>
    <w:rsid w:val="006011AD"/>
    <w:rsid w:val="006015B6"/>
    <w:rsid w:val="006018CB"/>
    <w:rsid w:val="00601B93"/>
    <w:rsid w:val="00601C86"/>
    <w:rsid w:val="00601D38"/>
    <w:rsid w:val="00602662"/>
    <w:rsid w:val="00602C6D"/>
    <w:rsid w:val="006036DE"/>
    <w:rsid w:val="00603965"/>
    <w:rsid w:val="00604538"/>
    <w:rsid w:val="00604598"/>
    <w:rsid w:val="00604CB6"/>
    <w:rsid w:val="00604E62"/>
    <w:rsid w:val="0060556E"/>
    <w:rsid w:val="00605E93"/>
    <w:rsid w:val="00607F01"/>
    <w:rsid w:val="006103EF"/>
    <w:rsid w:val="00610570"/>
    <w:rsid w:val="00610BAB"/>
    <w:rsid w:val="006110A9"/>
    <w:rsid w:val="006114D3"/>
    <w:rsid w:val="00612B5E"/>
    <w:rsid w:val="00613C1B"/>
    <w:rsid w:val="006144C2"/>
    <w:rsid w:val="006146D0"/>
    <w:rsid w:val="00614E51"/>
    <w:rsid w:val="00614F36"/>
    <w:rsid w:val="006160EC"/>
    <w:rsid w:val="006162D6"/>
    <w:rsid w:val="006169D8"/>
    <w:rsid w:val="00620631"/>
    <w:rsid w:val="00620A35"/>
    <w:rsid w:val="00621160"/>
    <w:rsid w:val="006218E5"/>
    <w:rsid w:val="00621931"/>
    <w:rsid w:val="00621A62"/>
    <w:rsid w:val="00621B63"/>
    <w:rsid w:val="00621DAE"/>
    <w:rsid w:val="00621FD6"/>
    <w:rsid w:val="00622B09"/>
    <w:rsid w:val="00623668"/>
    <w:rsid w:val="00623DA1"/>
    <w:rsid w:val="006241AE"/>
    <w:rsid w:val="006243CC"/>
    <w:rsid w:val="00624986"/>
    <w:rsid w:val="0062538B"/>
    <w:rsid w:val="00626235"/>
    <w:rsid w:val="006267E4"/>
    <w:rsid w:val="00630641"/>
    <w:rsid w:val="006310E4"/>
    <w:rsid w:val="00631723"/>
    <w:rsid w:val="00632150"/>
    <w:rsid w:val="0063232E"/>
    <w:rsid w:val="006326D6"/>
    <w:rsid w:val="00632AFF"/>
    <w:rsid w:val="00632C3F"/>
    <w:rsid w:val="00633477"/>
    <w:rsid w:val="00633A48"/>
    <w:rsid w:val="00634F68"/>
    <w:rsid w:val="0063533E"/>
    <w:rsid w:val="006353DA"/>
    <w:rsid w:val="00635433"/>
    <w:rsid w:val="00635664"/>
    <w:rsid w:val="006356BD"/>
    <w:rsid w:val="0063590A"/>
    <w:rsid w:val="00635C38"/>
    <w:rsid w:val="00635E6E"/>
    <w:rsid w:val="0063605A"/>
    <w:rsid w:val="006370BD"/>
    <w:rsid w:val="00637EB6"/>
    <w:rsid w:val="00640B35"/>
    <w:rsid w:val="00641D62"/>
    <w:rsid w:val="00641DF2"/>
    <w:rsid w:val="00641EB1"/>
    <w:rsid w:val="006428C4"/>
    <w:rsid w:val="00643979"/>
    <w:rsid w:val="00643EBF"/>
    <w:rsid w:val="006440AE"/>
    <w:rsid w:val="006458BC"/>
    <w:rsid w:val="00645C71"/>
    <w:rsid w:val="0064717C"/>
    <w:rsid w:val="00647915"/>
    <w:rsid w:val="00647BDD"/>
    <w:rsid w:val="00647CF3"/>
    <w:rsid w:val="00647EDF"/>
    <w:rsid w:val="00650239"/>
    <w:rsid w:val="00650AA5"/>
    <w:rsid w:val="00651EB6"/>
    <w:rsid w:val="006526DF"/>
    <w:rsid w:val="00652B38"/>
    <w:rsid w:val="0065311B"/>
    <w:rsid w:val="006534BC"/>
    <w:rsid w:val="00654B5B"/>
    <w:rsid w:val="00654DD5"/>
    <w:rsid w:val="006551BD"/>
    <w:rsid w:val="00655ED5"/>
    <w:rsid w:val="0065639C"/>
    <w:rsid w:val="0065646C"/>
    <w:rsid w:val="00656AEA"/>
    <w:rsid w:val="00656C47"/>
    <w:rsid w:val="006574D5"/>
    <w:rsid w:val="00657636"/>
    <w:rsid w:val="00657EE1"/>
    <w:rsid w:val="00660B75"/>
    <w:rsid w:val="00660D13"/>
    <w:rsid w:val="00660F9E"/>
    <w:rsid w:val="006610CE"/>
    <w:rsid w:val="00661CB4"/>
    <w:rsid w:val="006620CC"/>
    <w:rsid w:val="00662B59"/>
    <w:rsid w:val="00663CA6"/>
    <w:rsid w:val="00664C8D"/>
    <w:rsid w:val="0066513E"/>
    <w:rsid w:val="006654B4"/>
    <w:rsid w:val="006657DA"/>
    <w:rsid w:val="00665A19"/>
    <w:rsid w:val="00665C8F"/>
    <w:rsid w:val="00666127"/>
    <w:rsid w:val="0066649E"/>
    <w:rsid w:val="0066669E"/>
    <w:rsid w:val="00666CDD"/>
    <w:rsid w:val="006670DE"/>
    <w:rsid w:val="00667A81"/>
    <w:rsid w:val="0067037C"/>
    <w:rsid w:val="00671F6E"/>
    <w:rsid w:val="006726EA"/>
    <w:rsid w:val="006729B9"/>
    <w:rsid w:val="00672EEA"/>
    <w:rsid w:val="00673FD5"/>
    <w:rsid w:val="00674746"/>
    <w:rsid w:val="0067667C"/>
    <w:rsid w:val="00676D15"/>
    <w:rsid w:val="00676D54"/>
    <w:rsid w:val="006805C1"/>
    <w:rsid w:val="00680C85"/>
    <w:rsid w:val="006814F8"/>
    <w:rsid w:val="00681D27"/>
    <w:rsid w:val="00682969"/>
    <w:rsid w:val="00683D6D"/>
    <w:rsid w:val="006842FA"/>
    <w:rsid w:val="006844B4"/>
    <w:rsid w:val="006854F6"/>
    <w:rsid w:val="00686A74"/>
    <w:rsid w:val="006903A5"/>
    <w:rsid w:val="00692B86"/>
    <w:rsid w:val="00692BD5"/>
    <w:rsid w:val="006930DA"/>
    <w:rsid w:val="006931B5"/>
    <w:rsid w:val="00693DC6"/>
    <w:rsid w:val="00693EA6"/>
    <w:rsid w:val="00694AC8"/>
    <w:rsid w:val="00694DF7"/>
    <w:rsid w:val="006955B1"/>
    <w:rsid w:val="00695C8E"/>
    <w:rsid w:val="006961A5"/>
    <w:rsid w:val="006964FD"/>
    <w:rsid w:val="00696AE0"/>
    <w:rsid w:val="00696CE5"/>
    <w:rsid w:val="00696CE7"/>
    <w:rsid w:val="00697531"/>
    <w:rsid w:val="006A159B"/>
    <w:rsid w:val="006A1EDB"/>
    <w:rsid w:val="006A2541"/>
    <w:rsid w:val="006A2B9F"/>
    <w:rsid w:val="006A2CF3"/>
    <w:rsid w:val="006A449B"/>
    <w:rsid w:val="006A4F96"/>
    <w:rsid w:val="006A530B"/>
    <w:rsid w:val="006A533B"/>
    <w:rsid w:val="006A5637"/>
    <w:rsid w:val="006A628D"/>
    <w:rsid w:val="006A6684"/>
    <w:rsid w:val="006A76ED"/>
    <w:rsid w:val="006A78F2"/>
    <w:rsid w:val="006A7BFD"/>
    <w:rsid w:val="006A7E0B"/>
    <w:rsid w:val="006B1CC5"/>
    <w:rsid w:val="006B1E76"/>
    <w:rsid w:val="006B1F9A"/>
    <w:rsid w:val="006B23AD"/>
    <w:rsid w:val="006B2508"/>
    <w:rsid w:val="006B2665"/>
    <w:rsid w:val="006B34A2"/>
    <w:rsid w:val="006B391D"/>
    <w:rsid w:val="006B3E99"/>
    <w:rsid w:val="006B4BD6"/>
    <w:rsid w:val="006B5142"/>
    <w:rsid w:val="006B56D4"/>
    <w:rsid w:val="006B5DA8"/>
    <w:rsid w:val="006B5FCF"/>
    <w:rsid w:val="006B6054"/>
    <w:rsid w:val="006B6288"/>
    <w:rsid w:val="006B6926"/>
    <w:rsid w:val="006B6A37"/>
    <w:rsid w:val="006B7CDB"/>
    <w:rsid w:val="006B7EEB"/>
    <w:rsid w:val="006B7F2A"/>
    <w:rsid w:val="006C08B1"/>
    <w:rsid w:val="006C14C0"/>
    <w:rsid w:val="006C1BBB"/>
    <w:rsid w:val="006C2273"/>
    <w:rsid w:val="006C22D5"/>
    <w:rsid w:val="006C3199"/>
    <w:rsid w:val="006C3303"/>
    <w:rsid w:val="006C357F"/>
    <w:rsid w:val="006C3601"/>
    <w:rsid w:val="006C3606"/>
    <w:rsid w:val="006C39E7"/>
    <w:rsid w:val="006C39EF"/>
    <w:rsid w:val="006C3A98"/>
    <w:rsid w:val="006C3D3C"/>
    <w:rsid w:val="006C3F29"/>
    <w:rsid w:val="006C401B"/>
    <w:rsid w:val="006C4E6F"/>
    <w:rsid w:val="006C4F7D"/>
    <w:rsid w:val="006C560F"/>
    <w:rsid w:val="006C5BFF"/>
    <w:rsid w:val="006C5E85"/>
    <w:rsid w:val="006C7135"/>
    <w:rsid w:val="006C7409"/>
    <w:rsid w:val="006C75C2"/>
    <w:rsid w:val="006C7736"/>
    <w:rsid w:val="006C7863"/>
    <w:rsid w:val="006C7B1F"/>
    <w:rsid w:val="006D09FC"/>
    <w:rsid w:val="006D14C6"/>
    <w:rsid w:val="006D2155"/>
    <w:rsid w:val="006D4960"/>
    <w:rsid w:val="006D4B4C"/>
    <w:rsid w:val="006D5A7C"/>
    <w:rsid w:val="006D5DBC"/>
    <w:rsid w:val="006D5F24"/>
    <w:rsid w:val="006D641D"/>
    <w:rsid w:val="006D65D7"/>
    <w:rsid w:val="006D7A63"/>
    <w:rsid w:val="006D7B32"/>
    <w:rsid w:val="006D7B98"/>
    <w:rsid w:val="006D7DAA"/>
    <w:rsid w:val="006E02B7"/>
    <w:rsid w:val="006E1617"/>
    <w:rsid w:val="006E184F"/>
    <w:rsid w:val="006E1ADE"/>
    <w:rsid w:val="006E225D"/>
    <w:rsid w:val="006E25C6"/>
    <w:rsid w:val="006E3AA6"/>
    <w:rsid w:val="006E3ADE"/>
    <w:rsid w:val="006E4913"/>
    <w:rsid w:val="006E64C9"/>
    <w:rsid w:val="006E66ED"/>
    <w:rsid w:val="006E6C24"/>
    <w:rsid w:val="006F019F"/>
    <w:rsid w:val="006F14F2"/>
    <w:rsid w:val="006F3873"/>
    <w:rsid w:val="006F3C77"/>
    <w:rsid w:val="006F3DC7"/>
    <w:rsid w:val="006F4D9D"/>
    <w:rsid w:val="006F57C2"/>
    <w:rsid w:val="006F5E0A"/>
    <w:rsid w:val="006F616E"/>
    <w:rsid w:val="006F6262"/>
    <w:rsid w:val="006F773D"/>
    <w:rsid w:val="006F7B9E"/>
    <w:rsid w:val="006F7F67"/>
    <w:rsid w:val="0070172F"/>
    <w:rsid w:val="00701940"/>
    <w:rsid w:val="007025E8"/>
    <w:rsid w:val="00702BD4"/>
    <w:rsid w:val="00705C00"/>
    <w:rsid w:val="00710AEE"/>
    <w:rsid w:val="00710C5D"/>
    <w:rsid w:val="007112DD"/>
    <w:rsid w:val="00711304"/>
    <w:rsid w:val="00711D02"/>
    <w:rsid w:val="00712004"/>
    <w:rsid w:val="00712FA9"/>
    <w:rsid w:val="00713798"/>
    <w:rsid w:val="00714E91"/>
    <w:rsid w:val="007153E2"/>
    <w:rsid w:val="0071617B"/>
    <w:rsid w:val="00717E23"/>
    <w:rsid w:val="00717EC7"/>
    <w:rsid w:val="00720286"/>
    <w:rsid w:val="0072049D"/>
    <w:rsid w:val="00720B4A"/>
    <w:rsid w:val="00720E6B"/>
    <w:rsid w:val="007210E8"/>
    <w:rsid w:val="00721376"/>
    <w:rsid w:val="007229A4"/>
    <w:rsid w:val="00722E20"/>
    <w:rsid w:val="00723A40"/>
    <w:rsid w:val="00723A81"/>
    <w:rsid w:val="0072452B"/>
    <w:rsid w:val="0072484B"/>
    <w:rsid w:val="00724B8D"/>
    <w:rsid w:val="00725FFF"/>
    <w:rsid w:val="007263A6"/>
    <w:rsid w:val="0072642B"/>
    <w:rsid w:val="00726745"/>
    <w:rsid w:val="0072707F"/>
    <w:rsid w:val="007270B5"/>
    <w:rsid w:val="00727CC2"/>
    <w:rsid w:val="00727D5C"/>
    <w:rsid w:val="007311B0"/>
    <w:rsid w:val="00731AA4"/>
    <w:rsid w:val="00731C98"/>
    <w:rsid w:val="00732254"/>
    <w:rsid w:val="00732E57"/>
    <w:rsid w:val="007332BA"/>
    <w:rsid w:val="007334BD"/>
    <w:rsid w:val="0073392C"/>
    <w:rsid w:val="00733C82"/>
    <w:rsid w:val="00733F8C"/>
    <w:rsid w:val="00734D33"/>
    <w:rsid w:val="00735799"/>
    <w:rsid w:val="00735A4C"/>
    <w:rsid w:val="00735C71"/>
    <w:rsid w:val="00736B80"/>
    <w:rsid w:val="00740BBD"/>
    <w:rsid w:val="0074156E"/>
    <w:rsid w:val="00741EE9"/>
    <w:rsid w:val="00744735"/>
    <w:rsid w:val="00744FEF"/>
    <w:rsid w:val="00745287"/>
    <w:rsid w:val="00745388"/>
    <w:rsid w:val="007459EC"/>
    <w:rsid w:val="00745E39"/>
    <w:rsid w:val="00746544"/>
    <w:rsid w:val="007466E3"/>
    <w:rsid w:val="00746740"/>
    <w:rsid w:val="00746C2D"/>
    <w:rsid w:val="007475A9"/>
    <w:rsid w:val="00750E0E"/>
    <w:rsid w:val="0075138B"/>
    <w:rsid w:val="007516C8"/>
    <w:rsid w:val="00751C5A"/>
    <w:rsid w:val="007522DB"/>
    <w:rsid w:val="00752AF0"/>
    <w:rsid w:val="00752E67"/>
    <w:rsid w:val="00753010"/>
    <w:rsid w:val="00753A46"/>
    <w:rsid w:val="00753D38"/>
    <w:rsid w:val="00753DEE"/>
    <w:rsid w:val="007546CC"/>
    <w:rsid w:val="0075500A"/>
    <w:rsid w:val="00755336"/>
    <w:rsid w:val="00755A6A"/>
    <w:rsid w:val="00756753"/>
    <w:rsid w:val="00757AE5"/>
    <w:rsid w:val="00757DE9"/>
    <w:rsid w:val="00757FF0"/>
    <w:rsid w:val="007604FA"/>
    <w:rsid w:val="007614B1"/>
    <w:rsid w:val="00761C23"/>
    <w:rsid w:val="007621AA"/>
    <w:rsid w:val="00762898"/>
    <w:rsid w:val="0076336A"/>
    <w:rsid w:val="007633A8"/>
    <w:rsid w:val="00763447"/>
    <w:rsid w:val="007638F8"/>
    <w:rsid w:val="00763A63"/>
    <w:rsid w:val="007644F3"/>
    <w:rsid w:val="007651BA"/>
    <w:rsid w:val="0076586A"/>
    <w:rsid w:val="00765CC8"/>
    <w:rsid w:val="00765DAC"/>
    <w:rsid w:val="00765EA9"/>
    <w:rsid w:val="00766614"/>
    <w:rsid w:val="0076667E"/>
    <w:rsid w:val="007667D1"/>
    <w:rsid w:val="00766D8B"/>
    <w:rsid w:val="00766E98"/>
    <w:rsid w:val="0076726A"/>
    <w:rsid w:val="007700C3"/>
    <w:rsid w:val="007707D6"/>
    <w:rsid w:val="00770978"/>
    <w:rsid w:val="007711DC"/>
    <w:rsid w:val="0077174E"/>
    <w:rsid w:val="007736C7"/>
    <w:rsid w:val="0077380E"/>
    <w:rsid w:val="00775368"/>
    <w:rsid w:val="007759A2"/>
    <w:rsid w:val="00776A81"/>
    <w:rsid w:val="00777AC7"/>
    <w:rsid w:val="00777C0C"/>
    <w:rsid w:val="00780436"/>
    <w:rsid w:val="00780C0F"/>
    <w:rsid w:val="00780FFB"/>
    <w:rsid w:val="0078104A"/>
    <w:rsid w:val="0078123C"/>
    <w:rsid w:val="007815E1"/>
    <w:rsid w:val="0078275E"/>
    <w:rsid w:val="007832F5"/>
    <w:rsid w:val="00785FCE"/>
    <w:rsid w:val="007869AD"/>
    <w:rsid w:val="00790E2C"/>
    <w:rsid w:val="0079108D"/>
    <w:rsid w:val="007920F9"/>
    <w:rsid w:val="007935DD"/>
    <w:rsid w:val="00793934"/>
    <w:rsid w:val="00793C02"/>
    <w:rsid w:val="0079432C"/>
    <w:rsid w:val="00794D89"/>
    <w:rsid w:val="007961C6"/>
    <w:rsid w:val="007961C7"/>
    <w:rsid w:val="00797F3E"/>
    <w:rsid w:val="007A01D2"/>
    <w:rsid w:val="007A1419"/>
    <w:rsid w:val="007A1D5B"/>
    <w:rsid w:val="007A2148"/>
    <w:rsid w:val="007A2F34"/>
    <w:rsid w:val="007A4C29"/>
    <w:rsid w:val="007A4C32"/>
    <w:rsid w:val="007A512D"/>
    <w:rsid w:val="007A5705"/>
    <w:rsid w:val="007A6A38"/>
    <w:rsid w:val="007A6ECA"/>
    <w:rsid w:val="007A76E6"/>
    <w:rsid w:val="007A7854"/>
    <w:rsid w:val="007B01F9"/>
    <w:rsid w:val="007B02FB"/>
    <w:rsid w:val="007B045B"/>
    <w:rsid w:val="007B0630"/>
    <w:rsid w:val="007B0926"/>
    <w:rsid w:val="007B12AA"/>
    <w:rsid w:val="007B18EF"/>
    <w:rsid w:val="007B31BD"/>
    <w:rsid w:val="007B34A7"/>
    <w:rsid w:val="007B34E5"/>
    <w:rsid w:val="007B3C9A"/>
    <w:rsid w:val="007B412D"/>
    <w:rsid w:val="007B4458"/>
    <w:rsid w:val="007B4533"/>
    <w:rsid w:val="007B47AF"/>
    <w:rsid w:val="007B5FAA"/>
    <w:rsid w:val="007B6981"/>
    <w:rsid w:val="007B6B3A"/>
    <w:rsid w:val="007B7A0D"/>
    <w:rsid w:val="007B7EA1"/>
    <w:rsid w:val="007C086C"/>
    <w:rsid w:val="007C092B"/>
    <w:rsid w:val="007C1518"/>
    <w:rsid w:val="007C1DB3"/>
    <w:rsid w:val="007C22CD"/>
    <w:rsid w:val="007C24A0"/>
    <w:rsid w:val="007C3F4A"/>
    <w:rsid w:val="007C4EF4"/>
    <w:rsid w:val="007C60CD"/>
    <w:rsid w:val="007C60D2"/>
    <w:rsid w:val="007C63FA"/>
    <w:rsid w:val="007C68AE"/>
    <w:rsid w:val="007C6A81"/>
    <w:rsid w:val="007C74EE"/>
    <w:rsid w:val="007C794D"/>
    <w:rsid w:val="007C7D56"/>
    <w:rsid w:val="007C7D92"/>
    <w:rsid w:val="007D05CF"/>
    <w:rsid w:val="007D0820"/>
    <w:rsid w:val="007D08EA"/>
    <w:rsid w:val="007D0BA9"/>
    <w:rsid w:val="007D11A7"/>
    <w:rsid w:val="007D1356"/>
    <w:rsid w:val="007D139D"/>
    <w:rsid w:val="007D1EF6"/>
    <w:rsid w:val="007D2416"/>
    <w:rsid w:val="007D241C"/>
    <w:rsid w:val="007D2940"/>
    <w:rsid w:val="007D2944"/>
    <w:rsid w:val="007D3046"/>
    <w:rsid w:val="007D321B"/>
    <w:rsid w:val="007D3753"/>
    <w:rsid w:val="007D3AF3"/>
    <w:rsid w:val="007D3E35"/>
    <w:rsid w:val="007D47D6"/>
    <w:rsid w:val="007D4BCB"/>
    <w:rsid w:val="007D4C9C"/>
    <w:rsid w:val="007D5A2D"/>
    <w:rsid w:val="007D5B1C"/>
    <w:rsid w:val="007D5F19"/>
    <w:rsid w:val="007D617D"/>
    <w:rsid w:val="007D6341"/>
    <w:rsid w:val="007D71C2"/>
    <w:rsid w:val="007D7C19"/>
    <w:rsid w:val="007E03DE"/>
    <w:rsid w:val="007E04CE"/>
    <w:rsid w:val="007E1C6A"/>
    <w:rsid w:val="007E2D51"/>
    <w:rsid w:val="007E35EF"/>
    <w:rsid w:val="007E3D11"/>
    <w:rsid w:val="007E3FAF"/>
    <w:rsid w:val="007E4433"/>
    <w:rsid w:val="007E4A93"/>
    <w:rsid w:val="007E4B11"/>
    <w:rsid w:val="007E4C79"/>
    <w:rsid w:val="007E5BA2"/>
    <w:rsid w:val="007E7BDE"/>
    <w:rsid w:val="007E7C51"/>
    <w:rsid w:val="007F1986"/>
    <w:rsid w:val="007F1EF1"/>
    <w:rsid w:val="007F21B2"/>
    <w:rsid w:val="007F2F73"/>
    <w:rsid w:val="007F3A98"/>
    <w:rsid w:val="007F47B5"/>
    <w:rsid w:val="007F51C9"/>
    <w:rsid w:val="007F53FB"/>
    <w:rsid w:val="007F59A7"/>
    <w:rsid w:val="007F5F25"/>
    <w:rsid w:val="007F6B06"/>
    <w:rsid w:val="007F6C27"/>
    <w:rsid w:val="00801499"/>
    <w:rsid w:val="00801779"/>
    <w:rsid w:val="00802EC8"/>
    <w:rsid w:val="00802F3D"/>
    <w:rsid w:val="00805132"/>
    <w:rsid w:val="00805DE9"/>
    <w:rsid w:val="00805FA2"/>
    <w:rsid w:val="008068A0"/>
    <w:rsid w:val="008068D4"/>
    <w:rsid w:val="00806F57"/>
    <w:rsid w:val="008074CC"/>
    <w:rsid w:val="008074D3"/>
    <w:rsid w:val="00807D22"/>
    <w:rsid w:val="0081096F"/>
    <w:rsid w:val="00810F54"/>
    <w:rsid w:val="008110A8"/>
    <w:rsid w:val="00811723"/>
    <w:rsid w:val="00812B7E"/>
    <w:rsid w:val="00812E11"/>
    <w:rsid w:val="00813D4F"/>
    <w:rsid w:val="00814106"/>
    <w:rsid w:val="008144ED"/>
    <w:rsid w:val="00814AFE"/>
    <w:rsid w:val="0081503B"/>
    <w:rsid w:val="0081549F"/>
    <w:rsid w:val="00816252"/>
    <w:rsid w:val="00816BC2"/>
    <w:rsid w:val="0081709E"/>
    <w:rsid w:val="00817BF5"/>
    <w:rsid w:val="008206F1"/>
    <w:rsid w:val="00820A65"/>
    <w:rsid w:val="00820BEE"/>
    <w:rsid w:val="00820E0F"/>
    <w:rsid w:val="008214D6"/>
    <w:rsid w:val="008217F1"/>
    <w:rsid w:val="00821A98"/>
    <w:rsid w:val="008221A8"/>
    <w:rsid w:val="00822630"/>
    <w:rsid w:val="0082493C"/>
    <w:rsid w:val="00824D19"/>
    <w:rsid w:val="00824EF4"/>
    <w:rsid w:val="00825BB7"/>
    <w:rsid w:val="00825F54"/>
    <w:rsid w:val="00827244"/>
    <w:rsid w:val="0082797A"/>
    <w:rsid w:val="00830A24"/>
    <w:rsid w:val="00830BF8"/>
    <w:rsid w:val="0083106C"/>
    <w:rsid w:val="0083108C"/>
    <w:rsid w:val="008310C6"/>
    <w:rsid w:val="00831900"/>
    <w:rsid w:val="00832357"/>
    <w:rsid w:val="00832828"/>
    <w:rsid w:val="00832B4B"/>
    <w:rsid w:val="00832CAF"/>
    <w:rsid w:val="008338CB"/>
    <w:rsid w:val="00833BF7"/>
    <w:rsid w:val="00833EAA"/>
    <w:rsid w:val="00835348"/>
    <w:rsid w:val="008357C6"/>
    <w:rsid w:val="00835C88"/>
    <w:rsid w:val="008360B0"/>
    <w:rsid w:val="00836B73"/>
    <w:rsid w:val="00836BD3"/>
    <w:rsid w:val="00837A58"/>
    <w:rsid w:val="00837F1E"/>
    <w:rsid w:val="00840F9B"/>
    <w:rsid w:val="0084107A"/>
    <w:rsid w:val="0084178E"/>
    <w:rsid w:val="00842060"/>
    <w:rsid w:val="008436F5"/>
    <w:rsid w:val="008442A6"/>
    <w:rsid w:val="00844346"/>
    <w:rsid w:val="008449A7"/>
    <w:rsid w:val="008451B1"/>
    <w:rsid w:val="0084688A"/>
    <w:rsid w:val="008502BD"/>
    <w:rsid w:val="0085032C"/>
    <w:rsid w:val="00852FE4"/>
    <w:rsid w:val="0085366E"/>
    <w:rsid w:val="008536F9"/>
    <w:rsid w:val="00853BDA"/>
    <w:rsid w:val="008541A5"/>
    <w:rsid w:val="00855C87"/>
    <w:rsid w:val="00855DDD"/>
    <w:rsid w:val="00856508"/>
    <w:rsid w:val="00856D78"/>
    <w:rsid w:val="00857007"/>
    <w:rsid w:val="008600EA"/>
    <w:rsid w:val="0086015A"/>
    <w:rsid w:val="008604BD"/>
    <w:rsid w:val="008606D7"/>
    <w:rsid w:val="00860C66"/>
    <w:rsid w:val="00862474"/>
    <w:rsid w:val="008624BB"/>
    <w:rsid w:val="0086268D"/>
    <w:rsid w:val="008628B9"/>
    <w:rsid w:val="00862EAB"/>
    <w:rsid w:val="008634A5"/>
    <w:rsid w:val="008641A3"/>
    <w:rsid w:val="00864349"/>
    <w:rsid w:val="00864379"/>
    <w:rsid w:val="00864B9B"/>
    <w:rsid w:val="00864E6B"/>
    <w:rsid w:val="008654B1"/>
    <w:rsid w:val="008656E4"/>
    <w:rsid w:val="008661B2"/>
    <w:rsid w:val="0086639C"/>
    <w:rsid w:val="00866E7E"/>
    <w:rsid w:val="00870091"/>
    <w:rsid w:val="0087056B"/>
    <w:rsid w:val="00870C3C"/>
    <w:rsid w:val="00871048"/>
    <w:rsid w:val="00871B52"/>
    <w:rsid w:val="00872297"/>
    <w:rsid w:val="00872429"/>
    <w:rsid w:val="008731D8"/>
    <w:rsid w:val="0087395B"/>
    <w:rsid w:val="008742D1"/>
    <w:rsid w:val="008743C6"/>
    <w:rsid w:val="0087467D"/>
    <w:rsid w:val="0087473A"/>
    <w:rsid w:val="00875CBB"/>
    <w:rsid w:val="00876DBC"/>
    <w:rsid w:val="00876EBE"/>
    <w:rsid w:val="00876F72"/>
    <w:rsid w:val="0087781A"/>
    <w:rsid w:val="00877A4D"/>
    <w:rsid w:val="0088053D"/>
    <w:rsid w:val="0088101D"/>
    <w:rsid w:val="00881099"/>
    <w:rsid w:val="00881423"/>
    <w:rsid w:val="00881761"/>
    <w:rsid w:val="0088282C"/>
    <w:rsid w:val="00882B6A"/>
    <w:rsid w:val="00882CAA"/>
    <w:rsid w:val="00882F6C"/>
    <w:rsid w:val="00883A02"/>
    <w:rsid w:val="00883BC4"/>
    <w:rsid w:val="008842A1"/>
    <w:rsid w:val="008842E7"/>
    <w:rsid w:val="008845BD"/>
    <w:rsid w:val="00884898"/>
    <w:rsid w:val="00885676"/>
    <w:rsid w:val="008857CF"/>
    <w:rsid w:val="00885E08"/>
    <w:rsid w:val="00886228"/>
    <w:rsid w:val="008868EF"/>
    <w:rsid w:val="00886B21"/>
    <w:rsid w:val="00886E82"/>
    <w:rsid w:val="00887BB2"/>
    <w:rsid w:val="008916D6"/>
    <w:rsid w:val="00892B08"/>
    <w:rsid w:val="00892BEB"/>
    <w:rsid w:val="008937EE"/>
    <w:rsid w:val="00893D65"/>
    <w:rsid w:val="00893E46"/>
    <w:rsid w:val="008940FF"/>
    <w:rsid w:val="0089446D"/>
    <w:rsid w:val="00895917"/>
    <w:rsid w:val="00895BFA"/>
    <w:rsid w:val="00895D0C"/>
    <w:rsid w:val="00897A7C"/>
    <w:rsid w:val="008A01AD"/>
    <w:rsid w:val="008A08FD"/>
    <w:rsid w:val="008A1186"/>
    <w:rsid w:val="008A1E81"/>
    <w:rsid w:val="008A29DE"/>
    <w:rsid w:val="008A2D66"/>
    <w:rsid w:val="008A2E8C"/>
    <w:rsid w:val="008A325C"/>
    <w:rsid w:val="008A3340"/>
    <w:rsid w:val="008A42F9"/>
    <w:rsid w:val="008A49BE"/>
    <w:rsid w:val="008A4BDB"/>
    <w:rsid w:val="008A4C1D"/>
    <w:rsid w:val="008A5AD5"/>
    <w:rsid w:val="008A5F3C"/>
    <w:rsid w:val="008A61ED"/>
    <w:rsid w:val="008A6489"/>
    <w:rsid w:val="008A6EBA"/>
    <w:rsid w:val="008A709C"/>
    <w:rsid w:val="008A731E"/>
    <w:rsid w:val="008A7FB1"/>
    <w:rsid w:val="008B0D7E"/>
    <w:rsid w:val="008B113F"/>
    <w:rsid w:val="008B11B3"/>
    <w:rsid w:val="008B1909"/>
    <w:rsid w:val="008B1E8F"/>
    <w:rsid w:val="008B2756"/>
    <w:rsid w:val="008B2AD9"/>
    <w:rsid w:val="008B2CD8"/>
    <w:rsid w:val="008B33B2"/>
    <w:rsid w:val="008B376E"/>
    <w:rsid w:val="008B50FE"/>
    <w:rsid w:val="008B564E"/>
    <w:rsid w:val="008B5AEC"/>
    <w:rsid w:val="008B5FC4"/>
    <w:rsid w:val="008B6439"/>
    <w:rsid w:val="008B6AB4"/>
    <w:rsid w:val="008B7086"/>
    <w:rsid w:val="008B7B89"/>
    <w:rsid w:val="008B7DDF"/>
    <w:rsid w:val="008C0085"/>
    <w:rsid w:val="008C04DF"/>
    <w:rsid w:val="008C0A0F"/>
    <w:rsid w:val="008C0D62"/>
    <w:rsid w:val="008C11D0"/>
    <w:rsid w:val="008C1329"/>
    <w:rsid w:val="008C1746"/>
    <w:rsid w:val="008C1DE6"/>
    <w:rsid w:val="008C3981"/>
    <w:rsid w:val="008C4F0D"/>
    <w:rsid w:val="008C520D"/>
    <w:rsid w:val="008C59EB"/>
    <w:rsid w:val="008C5D7D"/>
    <w:rsid w:val="008D1257"/>
    <w:rsid w:val="008D2073"/>
    <w:rsid w:val="008D215A"/>
    <w:rsid w:val="008D2423"/>
    <w:rsid w:val="008D32DE"/>
    <w:rsid w:val="008D41D7"/>
    <w:rsid w:val="008D5AC9"/>
    <w:rsid w:val="008D5F83"/>
    <w:rsid w:val="008D64FB"/>
    <w:rsid w:val="008D6679"/>
    <w:rsid w:val="008D684B"/>
    <w:rsid w:val="008D68AB"/>
    <w:rsid w:val="008D6957"/>
    <w:rsid w:val="008D69E8"/>
    <w:rsid w:val="008D7221"/>
    <w:rsid w:val="008E03B2"/>
    <w:rsid w:val="008E1060"/>
    <w:rsid w:val="008E10A0"/>
    <w:rsid w:val="008E29F7"/>
    <w:rsid w:val="008E2D25"/>
    <w:rsid w:val="008E322B"/>
    <w:rsid w:val="008E36C1"/>
    <w:rsid w:val="008E37E2"/>
    <w:rsid w:val="008E4CDA"/>
    <w:rsid w:val="008E5103"/>
    <w:rsid w:val="008E6147"/>
    <w:rsid w:val="008E68D5"/>
    <w:rsid w:val="008E6D3D"/>
    <w:rsid w:val="008E7182"/>
    <w:rsid w:val="008E73B7"/>
    <w:rsid w:val="008F12F4"/>
    <w:rsid w:val="008F2D61"/>
    <w:rsid w:val="008F2F61"/>
    <w:rsid w:val="008F6003"/>
    <w:rsid w:val="008F60CC"/>
    <w:rsid w:val="008F7390"/>
    <w:rsid w:val="008F772E"/>
    <w:rsid w:val="00900B1B"/>
    <w:rsid w:val="0090118E"/>
    <w:rsid w:val="00901325"/>
    <w:rsid w:val="009016F2"/>
    <w:rsid w:val="009028DE"/>
    <w:rsid w:val="00902C90"/>
    <w:rsid w:val="00903D12"/>
    <w:rsid w:val="009043E2"/>
    <w:rsid w:val="00904E0C"/>
    <w:rsid w:val="00905DBC"/>
    <w:rsid w:val="0090614E"/>
    <w:rsid w:val="00906260"/>
    <w:rsid w:val="009100E6"/>
    <w:rsid w:val="00910104"/>
    <w:rsid w:val="00910251"/>
    <w:rsid w:val="00910BFE"/>
    <w:rsid w:val="00910C85"/>
    <w:rsid w:val="009118E9"/>
    <w:rsid w:val="009135D0"/>
    <w:rsid w:val="009138B2"/>
    <w:rsid w:val="00913BE0"/>
    <w:rsid w:val="009151EC"/>
    <w:rsid w:val="00915EAB"/>
    <w:rsid w:val="00916474"/>
    <w:rsid w:val="009166F4"/>
    <w:rsid w:val="0091718C"/>
    <w:rsid w:val="00917FEA"/>
    <w:rsid w:val="0092104F"/>
    <w:rsid w:val="00921206"/>
    <w:rsid w:val="00921307"/>
    <w:rsid w:val="00922470"/>
    <w:rsid w:val="00923025"/>
    <w:rsid w:val="0092382D"/>
    <w:rsid w:val="00923EA5"/>
    <w:rsid w:val="009241D2"/>
    <w:rsid w:val="009250B2"/>
    <w:rsid w:val="0092586C"/>
    <w:rsid w:val="00925BB5"/>
    <w:rsid w:val="00931F8A"/>
    <w:rsid w:val="0093249E"/>
    <w:rsid w:val="009325E0"/>
    <w:rsid w:val="00932CBD"/>
    <w:rsid w:val="009337E8"/>
    <w:rsid w:val="00933BF8"/>
    <w:rsid w:val="009342A1"/>
    <w:rsid w:val="00934780"/>
    <w:rsid w:val="00934A44"/>
    <w:rsid w:val="00934D43"/>
    <w:rsid w:val="009353F4"/>
    <w:rsid w:val="00935B3E"/>
    <w:rsid w:val="00935DAF"/>
    <w:rsid w:val="009361F6"/>
    <w:rsid w:val="00936262"/>
    <w:rsid w:val="0093630D"/>
    <w:rsid w:val="009367E7"/>
    <w:rsid w:val="00936917"/>
    <w:rsid w:val="00936A85"/>
    <w:rsid w:val="00937201"/>
    <w:rsid w:val="00937595"/>
    <w:rsid w:val="00937F48"/>
    <w:rsid w:val="00940508"/>
    <w:rsid w:val="009406BA"/>
    <w:rsid w:val="00940755"/>
    <w:rsid w:val="00940BDC"/>
    <w:rsid w:val="00941497"/>
    <w:rsid w:val="00941F45"/>
    <w:rsid w:val="00942003"/>
    <w:rsid w:val="00942B11"/>
    <w:rsid w:val="009438A0"/>
    <w:rsid w:val="009442FB"/>
    <w:rsid w:val="0094503D"/>
    <w:rsid w:val="00945F86"/>
    <w:rsid w:val="0094729D"/>
    <w:rsid w:val="00950626"/>
    <w:rsid w:val="00950663"/>
    <w:rsid w:val="00951112"/>
    <w:rsid w:val="00951C29"/>
    <w:rsid w:val="00951D15"/>
    <w:rsid w:val="009521FB"/>
    <w:rsid w:val="009522ED"/>
    <w:rsid w:val="00952501"/>
    <w:rsid w:val="00952B7C"/>
    <w:rsid w:val="00953404"/>
    <w:rsid w:val="0095467B"/>
    <w:rsid w:val="00955699"/>
    <w:rsid w:val="00957B54"/>
    <w:rsid w:val="009601DA"/>
    <w:rsid w:val="0096053E"/>
    <w:rsid w:val="00960CF8"/>
    <w:rsid w:val="00960F86"/>
    <w:rsid w:val="009616D4"/>
    <w:rsid w:val="00961D7A"/>
    <w:rsid w:val="0096287B"/>
    <w:rsid w:val="00962D1C"/>
    <w:rsid w:val="009630CB"/>
    <w:rsid w:val="00963E40"/>
    <w:rsid w:val="009648C7"/>
    <w:rsid w:val="00964CB6"/>
    <w:rsid w:val="00964D92"/>
    <w:rsid w:val="009650B3"/>
    <w:rsid w:val="00965542"/>
    <w:rsid w:val="00965844"/>
    <w:rsid w:val="00965F38"/>
    <w:rsid w:val="009664BA"/>
    <w:rsid w:val="009667E5"/>
    <w:rsid w:val="009668B1"/>
    <w:rsid w:val="009710D8"/>
    <w:rsid w:val="00971915"/>
    <w:rsid w:val="00971EEF"/>
    <w:rsid w:val="00972910"/>
    <w:rsid w:val="009730DB"/>
    <w:rsid w:val="0097312A"/>
    <w:rsid w:val="0097361A"/>
    <w:rsid w:val="00973658"/>
    <w:rsid w:val="00974A67"/>
    <w:rsid w:val="00974F5B"/>
    <w:rsid w:val="00975FDA"/>
    <w:rsid w:val="00977CA9"/>
    <w:rsid w:val="00980091"/>
    <w:rsid w:val="009804BD"/>
    <w:rsid w:val="00981B44"/>
    <w:rsid w:val="00983004"/>
    <w:rsid w:val="009841F0"/>
    <w:rsid w:val="00984378"/>
    <w:rsid w:val="009857D3"/>
    <w:rsid w:val="00985C2B"/>
    <w:rsid w:val="009870D3"/>
    <w:rsid w:val="00990BAD"/>
    <w:rsid w:val="0099116C"/>
    <w:rsid w:val="009916B7"/>
    <w:rsid w:val="00991912"/>
    <w:rsid w:val="00992F05"/>
    <w:rsid w:val="0099306A"/>
    <w:rsid w:val="00993D8E"/>
    <w:rsid w:val="009942C8"/>
    <w:rsid w:val="009948FF"/>
    <w:rsid w:val="009951B9"/>
    <w:rsid w:val="00995602"/>
    <w:rsid w:val="009978AD"/>
    <w:rsid w:val="00997FF2"/>
    <w:rsid w:val="009A02AC"/>
    <w:rsid w:val="009A0FDC"/>
    <w:rsid w:val="009A2A26"/>
    <w:rsid w:val="009A2ADE"/>
    <w:rsid w:val="009A3717"/>
    <w:rsid w:val="009A4A9C"/>
    <w:rsid w:val="009A4B9A"/>
    <w:rsid w:val="009A554B"/>
    <w:rsid w:val="009A6C2A"/>
    <w:rsid w:val="009A7584"/>
    <w:rsid w:val="009A7B52"/>
    <w:rsid w:val="009B0E85"/>
    <w:rsid w:val="009B1249"/>
    <w:rsid w:val="009B1745"/>
    <w:rsid w:val="009B3973"/>
    <w:rsid w:val="009B3A6A"/>
    <w:rsid w:val="009B3B1F"/>
    <w:rsid w:val="009B5984"/>
    <w:rsid w:val="009B61EA"/>
    <w:rsid w:val="009B6359"/>
    <w:rsid w:val="009B6815"/>
    <w:rsid w:val="009B6CDB"/>
    <w:rsid w:val="009B7F0A"/>
    <w:rsid w:val="009C1314"/>
    <w:rsid w:val="009C200D"/>
    <w:rsid w:val="009C309E"/>
    <w:rsid w:val="009C3829"/>
    <w:rsid w:val="009C475A"/>
    <w:rsid w:val="009C4A85"/>
    <w:rsid w:val="009C59DC"/>
    <w:rsid w:val="009C5C9B"/>
    <w:rsid w:val="009C5F16"/>
    <w:rsid w:val="009C61F9"/>
    <w:rsid w:val="009C68D3"/>
    <w:rsid w:val="009C6975"/>
    <w:rsid w:val="009C6DB4"/>
    <w:rsid w:val="009C6F9E"/>
    <w:rsid w:val="009C74F0"/>
    <w:rsid w:val="009C761F"/>
    <w:rsid w:val="009C7635"/>
    <w:rsid w:val="009C784A"/>
    <w:rsid w:val="009D000A"/>
    <w:rsid w:val="009D16EE"/>
    <w:rsid w:val="009D1EF3"/>
    <w:rsid w:val="009D3861"/>
    <w:rsid w:val="009D3FC5"/>
    <w:rsid w:val="009D4691"/>
    <w:rsid w:val="009D4AFE"/>
    <w:rsid w:val="009D50EB"/>
    <w:rsid w:val="009D6E89"/>
    <w:rsid w:val="009D7693"/>
    <w:rsid w:val="009D7A2A"/>
    <w:rsid w:val="009E0F59"/>
    <w:rsid w:val="009E1B6B"/>
    <w:rsid w:val="009E240A"/>
    <w:rsid w:val="009E2581"/>
    <w:rsid w:val="009E25BA"/>
    <w:rsid w:val="009E3167"/>
    <w:rsid w:val="009E3D7D"/>
    <w:rsid w:val="009E46F9"/>
    <w:rsid w:val="009E4EB9"/>
    <w:rsid w:val="009E54BB"/>
    <w:rsid w:val="009E55BD"/>
    <w:rsid w:val="009E5E16"/>
    <w:rsid w:val="009E6B84"/>
    <w:rsid w:val="009E7CBD"/>
    <w:rsid w:val="009E7D91"/>
    <w:rsid w:val="009F105F"/>
    <w:rsid w:val="009F2B27"/>
    <w:rsid w:val="009F2E0D"/>
    <w:rsid w:val="009F426F"/>
    <w:rsid w:val="009F45C6"/>
    <w:rsid w:val="009F51B3"/>
    <w:rsid w:val="009F616E"/>
    <w:rsid w:val="009F7BA9"/>
    <w:rsid w:val="00A00CE4"/>
    <w:rsid w:val="00A010CB"/>
    <w:rsid w:val="00A01E22"/>
    <w:rsid w:val="00A024B7"/>
    <w:rsid w:val="00A032DC"/>
    <w:rsid w:val="00A03732"/>
    <w:rsid w:val="00A03CC1"/>
    <w:rsid w:val="00A04B84"/>
    <w:rsid w:val="00A053FE"/>
    <w:rsid w:val="00A055B3"/>
    <w:rsid w:val="00A056F5"/>
    <w:rsid w:val="00A05919"/>
    <w:rsid w:val="00A06274"/>
    <w:rsid w:val="00A0682B"/>
    <w:rsid w:val="00A071BF"/>
    <w:rsid w:val="00A075B6"/>
    <w:rsid w:val="00A07D93"/>
    <w:rsid w:val="00A10E30"/>
    <w:rsid w:val="00A11082"/>
    <w:rsid w:val="00A11624"/>
    <w:rsid w:val="00A1181E"/>
    <w:rsid w:val="00A11A08"/>
    <w:rsid w:val="00A12721"/>
    <w:rsid w:val="00A1279C"/>
    <w:rsid w:val="00A12D54"/>
    <w:rsid w:val="00A12D9E"/>
    <w:rsid w:val="00A1405B"/>
    <w:rsid w:val="00A1484B"/>
    <w:rsid w:val="00A16022"/>
    <w:rsid w:val="00A161D3"/>
    <w:rsid w:val="00A1747D"/>
    <w:rsid w:val="00A1747F"/>
    <w:rsid w:val="00A17855"/>
    <w:rsid w:val="00A17915"/>
    <w:rsid w:val="00A17987"/>
    <w:rsid w:val="00A17E27"/>
    <w:rsid w:val="00A20196"/>
    <w:rsid w:val="00A20619"/>
    <w:rsid w:val="00A228D0"/>
    <w:rsid w:val="00A22DC4"/>
    <w:rsid w:val="00A23A02"/>
    <w:rsid w:val="00A23D64"/>
    <w:rsid w:val="00A25157"/>
    <w:rsid w:val="00A25420"/>
    <w:rsid w:val="00A26777"/>
    <w:rsid w:val="00A272D8"/>
    <w:rsid w:val="00A274E6"/>
    <w:rsid w:val="00A27525"/>
    <w:rsid w:val="00A27596"/>
    <w:rsid w:val="00A276F6"/>
    <w:rsid w:val="00A30696"/>
    <w:rsid w:val="00A314FB"/>
    <w:rsid w:val="00A31517"/>
    <w:rsid w:val="00A31907"/>
    <w:rsid w:val="00A3224E"/>
    <w:rsid w:val="00A3387C"/>
    <w:rsid w:val="00A33C5B"/>
    <w:rsid w:val="00A349AB"/>
    <w:rsid w:val="00A364EC"/>
    <w:rsid w:val="00A36FBA"/>
    <w:rsid w:val="00A37B08"/>
    <w:rsid w:val="00A411DD"/>
    <w:rsid w:val="00A414FC"/>
    <w:rsid w:val="00A4151D"/>
    <w:rsid w:val="00A417DB"/>
    <w:rsid w:val="00A42228"/>
    <w:rsid w:val="00A426D7"/>
    <w:rsid w:val="00A42851"/>
    <w:rsid w:val="00A44411"/>
    <w:rsid w:val="00A4457D"/>
    <w:rsid w:val="00A4476A"/>
    <w:rsid w:val="00A4775D"/>
    <w:rsid w:val="00A47839"/>
    <w:rsid w:val="00A50FFD"/>
    <w:rsid w:val="00A516C9"/>
    <w:rsid w:val="00A51769"/>
    <w:rsid w:val="00A52E80"/>
    <w:rsid w:val="00A538D9"/>
    <w:rsid w:val="00A53938"/>
    <w:rsid w:val="00A53A0A"/>
    <w:rsid w:val="00A53FF8"/>
    <w:rsid w:val="00A54A44"/>
    <w:rsid w:val="00A54AF7"/>
    <w:rsid w:val="00A54C75"/>
    <w:rsid w:val="00A55C41"/>
    <w:rsid w:val="00A55C54"/>
    <w:rsid w:val="00A564AA"/>
    <w:rsid w:val="00A56561"/>
    <w:rsid w:val="00A56BF9"/>
    <w:rsid w:val="00A578AB"/>
    <w:rsid w:val="00A57CD7"/>
    <w:rsid w:val="00A57E4B"/>
    <w:rsid w:val="00A57E6A"/>
    <w:rsid w:val="00A60369"/>
    <w:rsid w:val="00A60895"/>
    <w:rsid w:val="00A60CBC"/>
    <w:rsid w:val="00A6168E"/>
    <w:rsid w:val="00A625C2"/>
    <w:rsid w:val="00A62F00"/>
    <w:rsid w:val="00A62FBC"/>
    <w:rsid w:val="00A640EE"/>
    <w:rsid w:val="00A64177"/>
    <w:rsid w:val="00A64307"/>
    <w:rsid w:val="00A644D8"/>
    <w:rsid w:val="00A64842"/>
    <w:rsid w:val="00A65295"/>
    <w:rsid w:val="00A655BD"/>
    <w:rsid w:val="00A65DE0"/>
    <w:rsid w:val="00A669E1"/>
    <w:rsid w:val="00A67391"/>
    <w:rsid w:val="00A6739F"/>
    <w:rsid w:val="00A67460"/>
    <w:rsid w:val="00A702DF"/>
    <w:rsid w:val="00A703A2"/>
    <w:rsid w:val="00A707A3"/>
    <w:rsid w:val="00A7098C"/>
    <w:rsid w:val="00A70F73"/>
    <w:rsid w:val="00A715CA"/>
    <w:rsid w:val="00A71BB4"/>
    <w:rsid w:val="00A71E65"/>
    <w:rsid w:val="00A7257B"/>
    <w:rsid w:val="00A730D5"/>
    <w:rsid w:val="00A753CD"/>
    <w:rsid w:val="00A75476"/>
    <w:rsid w:val="00A75499"/>
    <w:rsid w:val="00A75846"/>
    <w:rsid w:val="00A75934"/>
    <w:rsid w:val="00A76F14"/>
    <w:rsid w:val="00A7704A"/>
    <w:rsid w:val="00A77942"/>
    <w:rsid w:val="00A809A1"/>
    <w:rsid w:val="00A80E49"/>
    <w:rsid w:val="00A8158B"/>
    <w:rsid w:val="00A815AC"/>
    <w:rsid w:val="00A81DEB"/>
    <w:rsid w:val="00A82474"/>
    <w:rsid w:val="00A8249E"/>
    <w:rsid w:val="00A82684"/>
    <w:rsid w:val="00A82827"/>
    <w:rsid w:val="00A82AB7"/>
    <w:rsid w:val="00A82F82"/>
    <w:rsid w:val="00A83568"/>
    <w:rsid w:val="00A83A65"/>
    <w:rsid w:val="00A83DFC"/>
    <w:rsid w:val="00A83FDF"/>
    <w:rsid w:val="00A8402F"/>
    <w:rsid w:val="00A84204"/>
    <w:rsid w:val="00A84A8A"/>
    <w:rsid w:val="00A84F37"/>
    <w:rsid w:val="00A8509E"/>
    <w:rsid w:val="00A85628"/>
    <w:rsid w:val="00A864E7"/>
    <w:rsid w:val="00A870DB"/>
    <w:rsid w:val="00A8744A"/>
    <w:rsid w:val="00A87616"/>
    <w:rsid w:val="00A87D9D"/>
    <w:rsid w:val="00A90A1E"/>
    <w:rsid w:val="00A91B27"/>
    <w:rsid w:val="00A91CDB"/>
    <w:rsid w:val="00A92D41"/>
    <w:rsid w:val="00A93621"/>
    <w:rsid w:val="00A94D68"/>
    <w:rsid w:val="00A95631"/>
    <w:rsid w:val="00A95BA6"/>
    <w:rsid w:val="00A970A2"/>
    <w:rsid w:val="00A975C7"/>
    <w:rsid w:val="00A97ED0"/>
    <w:rsid w:val="00AA02F4"/>
    <w:rsid w:val="00AA0F97"/>
    <w:rsid w:val="00AA1519"/>
    <w:rsid w:val="00AA159B"/>
    <w:rsid w:val="00AA1610"/>
    <w:rsid w:val="00AA1D73"/>
    <w:rsid w:val="00AA24C2"/>
    <w:rsid w:val="00AA2D8B"/>
    <w:rsid w:val="00AA3B0A"/>
    <w:rsid w:val="00AA3CB0"/>
    <w:rsid w:val="00AA5AF5"/>
    <w:rsid w:val="00AA6481"/>
    <w:rsid w:val="00AA64EF"/>
    <w:rsid w:val="00AA68AD"/>
    <w:rsid w:val="00AA7A67"/>
    <w:rsid w:val="00AA7C09"/>
    <w:rsid w:val="00AB10B5"/>
    <w:rsid w:val="00AB128F"/>
    <w:rsid w:val="00AB2100"/>
    <w:rsid w:val="00AB278E"/>
    <w:rsid w:val="00AB3B40"/>
    <w:rsid w:val="00AB4595"/>
    <w:rsid w:val="00AB4EA8"/>
    <w:rsid w:val="00AB4FF0"/>
    <w:rsid w:val="00AB6268"/>
    <w:rsid w:val="00AB67EA"/>
    <w:rsid w:val="00AB6F88"/>
    <w:rsid w:val="00AB7321"/>
    <w:rsid w:val="00AB7827"/>
    <w:rsid w:val="00AC0DAB"/>
    <w:rsid w:val="00AC266C"/>
    <w:rsid w:val="00AC2958"/>
    <w:rsid w:val="00AC2AE8"/>
    <w:rsid w:val="00AC36D3"/>
    <w:rsid w:val="00AC3757"/>
    <w:rsid w:val="00AC40AF"/>
    <w:rsid w:val="00AC4654"/>
    <w:rsid w:val="00AC482A"/>
    <w:rsid w:val="00AC493F"/>
    <w:rsid w:val="00AC4AC3"/>
    <w:rsid w:val="00AC4AE3"/>
    <w:rsid w:val="00AC5102"/>
    <w:rsid w:val="00AC53BE"/>
    <w:rsid w:val="00AC60AC"/>
    <w:rsid w:val="00AC7429"/>
    <w:rsid w:val="00AC742E"/>
    <w:rsid w:val="00AC7A54"/>
    <w:rsid w:val="00AC7ABE"/>
    <w:rsid w:val="00AD0F1B"/>
    <w:rsid w:val="00AD1487"/>
    <w:rsid w:val="00AD1812"/>
    <w:rsid w:val="00AD1A00"/>
    <w:rsid w:val="00AD362B"/>
    <w:rsid w:val="00AD36ED"/>
    <w:rsid w:val="00AD4043"/>
    <w:rsid w:val="00AD41D0"/>
    <w:rsid w:val="00AD4672"/>
    <w:rsid w:val="00AD4CEF"/>
    <w:rsid w:val="00AD511F"/>
    <w:rsid w:val="00AD7B47"/>
    <w:rsid w:val="00AE04FC"/>
    <w:rsid w:val="00AE0A3B"/>
    <w:rsid w:val="00AE0AE5"/>
    <w:rsid w:val="00AE0FE7"/>
    <w:rsid w:val="00AE180D"/>
    <w:rsid w:val="00AE193F"/>
    <w:rsid w:val="00AE24FA"/>
    <w:rsid w:val="00AE29AA"/>
    <w:rsid w:val="00AE354A"/>
    <w:rsid w:val="00AE3702"/>
    <w:rsid w:val="00AE43FE"/>
    <w:rsid w:val="00AE4BDB"/>
    <w:rsid w:val="00AE4C91"/>
    <w:rsid w:val="00AE626D"/>
    <w:rsid w:val="00AE7C6C"/>
    <w:rsid w:val="00AF05E8"/>
    <w:rsid w:val="00AF138D"/>
    <w:rsid w:val="00AF1594"/>
    <w:rsid w:val="00AF26D6"/>
    <w:rsid w:val="00AF2D88"/>
    <w:rsid w:val="00AF2FA1"/>
    <w:rsid w:val="00AF30A4"/>
    <w:rsid w:val="00AF33B9"/>
    <w:rsid w:val="00AF3CED"/>
    <w:rsid w:val="00AF4189"/>
    <w:rsid w:val="00AF50BF"/>
    <w:rsid w:val="00AF516B"/>
    <w:rsid w:val="00AF56B1"/>
    <w:rsid w:val="00AF6CA5"/>
    <w:rsid w:val="00AF7438"/>
    <w:rsid w:val="00AF7513"/>
    <w:rsid w:val="00B002CD"/>
    <w:rsid w:val="00B0097B"/>
    <w:rsid w:val="00B02BED"/>
    <w:rsid w:val="00B02E9D"/>
    <w:rsid w:val="00B0351E"/>
    <w:rsid w:val="00B03A29"/>
    <w:rsid w:val="00B03BBF"/>
    <w:rsid w:val="00B03BDE"/>
    <w:rsid w:val="00B03D05"/>
    <w:rsid w:val="00B04D3A"/>
    <w:rsid w:val="00B04FA3"/>
    <w:rsid w:val="00B04FB0"/>
    <w:rsid w:val="00B05B65"/>
    <w:rsid w:val="00B06059"/>
    <w:rsid w:val="00B101EF"/>
    <w:rsid w:val="00B111FE"/>
    <w:rsid w:val="00B1153C"/>
    <w:rsid w:val="00B11E6B"/>
    <w:rsid w:val="00B13487"/>
    <w:rsid w:val="00B13A86"/>
    <w:rsid w:val="00B13D9A"/>
    <w:rsid w:val="00B149B6"/>
    <w:rsid w:val="00B14E95"/>
    <w:rsid w:val="00B150D3"/>
    <w:rsid w:val="00B1542F"/>
    <w:rsid w:val="00B15CB1"/>
    <w:rsid w:val="00B1661B"/>
    <w:rsid w:val="00B1696A"/>
    <w:rsid w:val="00B16A00"/>
    <w:rsid w:val="00B176A4"/>
    <w:rsid w:val="00B17D58"/>
    <w:rsid w:val="00B17DB3"/>
    <w:rsid w:val="00B20831"/>
    <w:rsid w:val="00B21581"/>
    <w:rsid w:val="00B218D1"/>
    <w:rsid w:val="00B218E9"/>
    <w:rsid w:val="00B21CAE"/>
    <w:rsid w:val="00B21D7D"/>
    <w:rsid w:val="00B21F22"/>
    <w:rsid w:val="00B22106"/>
    <w:rsid w:val="00B23D7D"/>
    <w:rsid w:val="00B23F66"/>
    <w:rsid w:val="00B2465F"/>
    <w:rsid w:val="00B30C8B"/>
    <w:rsid w:val="00B314F3"/>
    <w:rsid w:val="00B31F8C"/>
    <w:rsid w:val="00B32B5F"/>
    <w:rsid w:val="00B32C6B"/>
    <w:rsid w:val="00B3365B"/>
    <w:rsid w:val="00B33ADD"/>
    <w:rsid w:val="00B33D02"/>
    <w:rsid w:val="00B349AD"/>
    <w:rsid w:val="00B3634A"/>
    <w:rsid w:val="00B36382"/>
    <w:rsid w:val="00B36C02"/>
    <w:rsid w:val="00B37414"/>
    <w:rsid w:val="00B37832"/>
    <w:rsid w:val="00B42305"/>
    <w:rsid w:val="00B42402"/>
    <w:rsid w:val="00B42C71"/>
    <w:rsid w:val="00B42C85"/>
    <w:rsid w:val="00B42CFF"/>
    <w:rsid w:val="00B43210"/>
    <w:rsid w:val="00B44FC3"/>
    <w:rsid w:val="00B45979"/>
    <w:rsid w:val="00B45AEE"/>
    <w:rsid w:val="00B45CC8"/>
    <w:rsid w:val="00B46961"/>
    <w:rsid w:val="00B47376"/>
    <w:rsid w:val="00B502C4"/>
    <w:rsid w:val="00B50726"/>
    <w:rsid w:val="00B5119A"/>
    <w:rsid w:val="00B51DC5"/>
    <w:rsid w:val="00B528F6"/>
    <w:rsid w:val="00B53055"/>
    <w:rsid w:val="00B53177"/>
    <w:rsid w:val="00B53812"/>
    <w:rsid w:val="00B53B4A"/>
    <w:rsid w:val="00B54170"/>
    <w:rsid w:val="00B54630"/>
    <w:rsid w:val="00B554E0"/>
    <w:rsid w:val="00B55B88"/>
    <w:rsid w:val="00B5647A"/>
    <w:rsid w:val="00B573FD"/>
    <w:rsid w:val="00B60044"/>
    <w:rsid w:val="00B61524"/>
    <w:rsid w:val="00B62597"/>
    <w:rsid w:val="00B62D37"/>
    <w:rsid w:val="00B63D04"/>
    <w:rsid w:val="00B64285"/>
    <w:rsid w:val="00B651CA"/>
    <w:rsid w:val="00B6595F"/>
    <w:rsid w:val="00B65A32"/>
    <w:rsid w:val="00B65DBB"/>
    <w:rsid w:val="00B65F39"/>
    <w:rsid w:val="00B66AA1"/>
    <w:rsid w:val="00B674A7"/>
    <w:rsid w:val="00B676D9"/>
    <w:rsid w:val="00B67E9F"/>
    <w:rsid w:val="00B70836"/>
    <w:rsid w:val="00B72833"/>
    <w:rsid w:val="00B72B6C"/>
    <w:rsid w:val="00B73275"/>
    <w:rsid w:val="00B73521"/>
    <w:rsid w:val="00B737EF"/>
    <w:rsid w:val="00B754B3"/>
    <w:rsid w:val="00B756AD"/>
    <w:rsid w:val="00B758F4"/>
    <w:rsid w:val="00B75AC7"/>
    <w:rsid w:val="00B75D68"/>
    <w:rsid w:val="00B763D7"/>
    <w:rsid w:val="00B773D5"/>
    <w:rsid w:val="00B77ACB"/>
    <w:rsid w:val="00B77E9B"/>
    <w:rsid w:val="00B77EAE"/>
    <w:rsid w:val="00B77ECF"/>
    <w:rsid w:val="00B818FE"/>
    <w:rsid w:val="00B82411"/>
    <w:rsid w:val="00B825DB"/>
    <w:rsid w:val="00B8268F"/>
    <w:rsid w:val="00B8370F"/>
    <w:rsid w:val="00B83DC2"/>
    <w:rsid w:val="00B84DE1"/>
    <w:rsid w:val="00B858A4"/>
    <w:rsid w:val="00B8626E"/>
    <w:rsid w:val="00B879CF"/>
    <w:rsid w:val="00B90593"/>
    <w:rsid w:val="00B90B10"/>
    <w:rsid w:val="00B916C5"/>
    <w:rsid w:val="00B92AA1"/>
    <w:rsid w:val="00B92CB3"/>
    <w:rsid w:val="00B93902"/>
    <w:rsid w:val="00B93EE0"/>
    <w:rsid w:val="00B94410"/>
    <w:rsid w:val="00B94600"/>
    <w:rsid w:val="00B9477B"/>
    <w:rsid w:val="00B94841"/>
    <w:rsid w:val="00B96748"/>
    <w:rsid w:val="00BA04AE"/>
    <w:rsid w:val="00BA0D6E"/>
    <w:rsid w:val="00BA10A0"/>
    <w:rsid w:val="00BA1C47"/>
    <w:rsid w:val="00BA2A1C"/>
    <w:rsid w:val="00BA31F6"/>
    <w:rsid w:val="00BA3333"/>
    <w:rsid w:val="00BA35FD"/>
    <w:rsid w:val="00BA39A3"/>
    <w:rsid w:val="00BA3C96"/>
    <w:rsid w:val="00BA42AE"/>
    <w:rsid w:val="00BA45BE"/>
    <w:rsid w:val="00BA5294"/>
    <w:rsid w:val="00BA6042"/>
    <w:rsid w:val="00BA70D4"/>
    <w:rsid w:val="00BA74B4"/>
    <w:rsid w:val="00BA7B0D"/>
    <w:rsid w:val="00BA7D75"/>
    <w:rsid w:val="00BA7F9C"/>
    <w:rsid w:val="00BB02C4"/>
    <w:rsid w:val="00BB0319"/>
    <w:rsid w:val="00BB09CD"/>
    <w:rsid w:val="00BB1B9F"/>
    <w:rsid w:val="00BB22A4"/>
    <w:rsid w:val="00BB292B"/>
    <w:rsid w:val="00BB3038"/>
    <w:rsid w:val="00BB303F"/>
    <w:rsid w:val="00BB44A0"/>
    <w:rsid w:val="00BB49B1"/>
    <w:rsid w:val="00BB4CE2"/>
    <w:rsid w:val="00BB673E"/>
    <w:rsid w:val="00BB6BA2"/>
    <w:rsid w:val="00BB79CE"/>
    <w:rsid w:val="00BB7CF2"/>
    <w:rsid w:val="00BC0DA4"/>
    <w:rsid w:val="00BC19EF"/>
    <w:rsid w:val="00BC235B"/>
    <w:rsid w:val="00BC2A01"/>
    <w:rsid w:val="00BC3405"/>
    <w:rsid w:val="00BC3435"/>
    <w:rsid w:val="00BC3956"/>
    <w:rsid w:val="00BC445C"/>
    <w:rsid w:val="00BC4AEE"/>
    <w:rsid w:val="00BC4E3C"/>
    <w:rsid w:val="00BC5E71"/>
    <w:rsid w:val="00BC72FD"/>
    <w:rsid w:val="00BC7483"/>
    <w:rsid w:val="00BD060D"/>
    <w:rsid w:val="00BD2A20"/>
    <w:rsid w:val="00BD2BC2"/>
    <w:rsid w:val="00BD2CE0"/>
    <w:rsid w:val="00BD3151"/>
    <w:rsid w:val="00BD37F2"/>
    <w:rsid w:val="00BD3817"/>
    <w:rsid w:val="00BD3881"/>
    <w:rsid w:val="00BD3FE2"/>
    <w:rsid w:val="00BD465D"/>
    <w:rsid w:val="00BD4904"/>
    <w:rsid w:val="00BD5D66"/>
    <w:rsid w:val="00BD7226"/>
    <w:rsid w:val="00BD78B9"/>
    <w:rsid w:val="00BE0D94"/>
    <w:rsid w:val="00BE12D6"/>
    <w:rsid w:val="00BE1538"/>
    <w:rsid w:val="00BE1CCD"/>
    <w:rsid w:val="00BE1E00"/>
    <w:rsid w:val="00BE570A"/>
    <w:rsid w:val="00BE638C"/>
    <w:rsid w:val="00BE6BF2"/>
    <w:rsid w:val="00BF04D1"/>
    <w:rsid w:val="00BF1E80"/>
    <w:rsid w:val="00BF3187"/>
    <w:rsid w:val="00BF38CA"/>
    <w:rsid w:val="00BF4530"/>
    <w:rsid w:val="00BF506D"/>
    <w:rsid w:val="00BF595A"/>
    <w:rsid w:val="00BF6CED"/>
    <w:rsid w:val="00C00388"/>
    <w:rsid w:val="00C00B5C"/>
    <w:rsid w:val="00C016F6"/>
    <w:rsid w:val="00C019D4"/>
    <w:rsid w:val="00C02723"/>
    <w:rsid w:val="00C02802"/>
    <w:rsid w:val="00C02828"/>
    <w:rsid w:val="00C02B6A"/>
    <w:rsid w:val="00C031BE"/>
    <w:rsid w:val="00C035D7"/>
    <w:rsid w:val="00C042DC"/>
    <w:rsid w:val="00C04706"/>
    <w:rsid w:val="00C04E3C"/>
    <w:rsid w:val="00C04E83"/>
    <w:rsid w:val="00C04EE2"/>
    <w:rsid w:val="00C050D1"/>
    <w:rsid w:val="00C0574F"/>
    <w:rsid w:val="00C057DA"/>
    <w:rsid w:val="00C06442"/>
    <w:rsid w:val="00C06864"/>
    <w:rsid w:val="00C0712D"/>
    <w:rsid w:val="00C07374"/>
    <w:rsid w:val="00C079D8"/>
    <w:rsid w:val="00C07F30"/>
    <w:rsid w:val="00C07FB3"/>
    <w:rsid w:val="00C1207B"/>
    <w:rsid w:val="00C13075"/>
    <w:rsid w:val="00C13B9D"/>
    <w:rsid w:val="00C15074"/>
    <w:rsid w:val="00C156B9"/>
    <w:rsid w:val="00C15903"/>
    <w:rsid w:val="00C15BFF"/>
    <w:rsid w:val="00C17EE7"/>
    <w:rsid w:val="00C17F81"/>
    <w:rsid w:val="00C2000C"/>
    <w:rsid w:val="00C21F9A"/>
    <w:rsid w:val="00C24728"/>
    <w:rsid w:val="00C24753"/>
    <w:rsid w:val="00C24B24"/>
    <w:rsid w:val="00C26135"/>
    <w:rsid w:val="00C274FE"/>
    <w:rsid w:val="00C2764E"/>
    <w:rsid w:val="00C30070"/>
    <w:rsid w:val="00C3027D"/>
    <w:rsid w:val="00C3065E"/>
    <w:rsid w:val="00C3078E"/>
    <w:rsid w:val="00C322BD"/>
    <w:rsid w:val="00C32738"/>
    <w:rsid w:val="00C32996"/>
    <w:rsid w:val="00C32C4B"/>
    <w:rsid w:val="00C3319D"/>
    <w:rsid w:val="00C338DF"/>
    <w:rsid w:val="00C33DC7"/>
    <w:rsid w:val="00C3483A"/>
    <w:rsid w:val="00C3493E"/>
    <w:rsid w:val="00C34B80"/>
    <w:rsid w:val="00C34D13"/>
    <w:rsid w:val="00C3562F"/>
    <w:rsid w:val="00C365E6"/>
    <w:rsid w:val="00C40F20"/>
    <w:rsid w:val="00C41865"/>
    <w:rsid w:val="00C422B8"/>
    <w:rsid w:val="00C430A6"/>
    <w:rsid w:val="00C431BE"/>
    <w:rsid w:val="00C45C8E"/>
    <w:rsid w:val="00C461A3"/>
    <w:rsid w:val="00C46203"/>
    <w:rsid w:val="00C46354"/>
    <w:rsid w:val="00C50579"/>
    <w:rsid w:val="00C50D4C"/>
    <w:rsid w:val="00C50EA0"/>
    <w:rsid w:val="00C517C1"/>
    <w:rsid w:val="00C51850"/>
    <w:rsid w:val="00C51A31"/>
    <w:rsid w:val="00C51C17"/>
    <w:rsid w:val="00C52C55"/>
    <w:rsid w:val="00C52D00"/>
    <w:rsid w:val="00C52D50"/>
    <w:rsid w:val="00C532F8"/>
    <w:rsid w:val="00C54047"/>
    <w:rsid w:val="00C540E6"/>
    <w:rsid w:val="00C54349"/>
    <w:rsid w:val="00C55ABC"/>
    <w:rsid w:val="00C561CC"/>
    <w:rsid w:val="00C56A4B"/>
    <w:rsid w:val="00C573F7"/>
    <w:rsid w:val="00C574BE"/>
    <w:rsid w:val="00C57F2C"/>
    <w:rsid w:val="00C62634"/>
    <w:rsid w:val="00C627F7"/>
    <w:rsid w:val="00C62CBB"/>
    <w:rsid w:val="00C6323F"/>
    <w:rsid w:val="00C63AD2"/>
    <w:rsid w:val="00C63CC8"/>
    <w:rsid w:val="00C64515"/>
    <w:rsid w:val="00C64723"/>
    <w:rsid w:val="00C64724"/>
    <w:rsid w:val="00C64924"/>
    <w:rsid w:val="00C6502E"/>
    <w:rsid w:val="00C65624"/>
    <w:rsid w:val="00C65B29"/>
    <w:rsid w:val="00C65EC8"/>
    <w:rsid w:val="00C667D3"/>
    <w:rsid w:val="00C66BE2"/>
    <w:rsid w:val="00C67095"/>
    <w:rsid w:val="00C673EF"/>
    <w:rsid w:val="00C6799C"/>
    <w:rsid w:val="00C7087F"/>
    <w:rsid w:val="00C7449A"/>
    <w:rsid w:val="00C76819"/>
    <w:rsid w:val="00C76BAF"/>
    <w:rsid w:val="00C7782F"/>
    <w:rsid w:val="00C778EE"/>
    <w:rsid w:val="00C80869"/>
    <w:rsid w:val="00C80954"/>
    <w:rsid w:val="00C80EC6"/>
    <w:rsid w:val="00C8189E"/>
    <w:rsid w:val="00C84089"/>
    <w:rsid w:val="00C8421C"/>
    <w:rsid w:val="00C8524F"/>
    <w:rsid w:val="00C85AB2"/>
    <w:rsid w:val="00C85C13"/>
    <w:rsid w:val="00C86774"/>
    <w:rsid w:val="00C8698D"/>
    <w:rsid w:val="00C86B7C"/>
    <w:rsid w:val="00C870A6"/>
    <w:rsid w:val="00C871C6"/>
    <w:rsid w:val="00C90932"/>
    <w:rsid w:val="00C90A06"/>
    <w:rsid w:val="00C91B87"/>
    <w:rsid w:val="00C91B9C"/>
    <w:rsid w:val="00C9278F"/>
    <w:rsid w:val="00C933B7"/>
    <w:rsid w:val="00C93BBA"/>
    <w:rsid w:val="00C94866"/>
    <w:rsid w:val="00C95882"/>
    <w:rsid w:val="00C959BF"/>
    <w:rsid w:val="00C95CAD"/>
    <w:rsid w:val="00C960CD"/>
    <w:rsid w:val="00C96FEC"/>
    <w:rsid w:val="00C9778E"/>
    <w:rsid w:val="00C97B16"/>
    <w:rsid w:val="00C97D8D"/>
    <w:rsid w:val="00CA0667"/>
    <w:rsid w:val="00CA06D4"/>
    <w:rsid w:val="00CA1030"/>
    <w:rsid w:val="00CA1EEA"/>
    <w:rsid w:val="00CA2D53"/>
    <w:rsid w:val="00CA2F99"/>
    <w:rsid w:val="00CA37B8"/>
    <w:rsid w:val="00CA438A"/>
    <w:rsid w:val="00CA4C1D"/>
    <w:rsid w:val="00CA5671"/>
    <w:rsid w:val="00CA5BCA"/>
    <w:rsid w:val="00CA60C0"/>
    <w:rsid w:val="00CA6F34"/>
    <w:rsid w:val="00CB10F2"/>
    <w:rsid w:val="00CB1776"/>
    <w:rsid w:val="00CB1C72"/>
    <w:rsid w:val="00CB2547"/>
    <w:rsid w:val="00CB3311"/>
    <w:rsid w:val="00CB419C"/>
    <w:rsid w:val="00CB44F1"/>
    <w:rsid w:val="00CB46D4"/>
    <w:rsid w:val="00CB4C20"/>
    <w:rsid w:val="00CB4EEE"/>
    <w:rsid w:val="00CB51CB"/>
    <w:rsid w:val="00CB5856"/>
    <w:rsid w:val="00CB5A55"/>
    <w:rsid w:val="00CB5D8B"/>
    <w:rsid w:val="00CB7171"/>
    <w:rsid w:val="00CB752A"/>
    <w:rsid w:val="00CB7BCA"/>
    <w:rsid w:val="00CB7F42"/>
    <w:rsid w:val="00CC0152"/>
    <w:rsid w:val="00CC0486"/>
    <w:rsid w:val="00CC0492"/>
    <w:rsid w:val="00CC08EB"/>
    <w:rsid w:val="00CC3F26"/>
    <w:rsid w:val="00CC5031"/>
    <w:rsid w:val="00CC531F"/>
    <w:rsid w:val="00CC68DB"/>
    <w:rsid w:val="00CC7B51"/>
    <w:rsid w:val="00CD059A"/>
    <w:rsid w:val="00CD06C0"/>
    <w:rsid w:val="00CD0DF2"/>
    <w:rsid w:val="00CD11BC"/>
    <w:rsid w:val="00CD22E8"/>
    <w:rsid w:val="00CD2463"/>
    <w:rsid w:val="00CD2B2F"/>
    <w:rsid w:val="00CD31F5"/>
    <w:rsid w:val="00CD3293"/>
    <w:rsid w:val="00CD3462"/>
    <w:rsid w:val="00CD477B"/>
    <w:rsid w:val="00CD5328"/>
    <w:rsid w:val="00CD57B2"/>
    <w:rsid w:val="00CD5D74"/>
    <w:rsid w:val="00CD6466"/>
    <w:rsid w:val="00CD6921"/>
    <w:rsid w:val="00CD6D43"/>
    <w:rsid w:val="00CD7885"/>
    <w:rsid w:val="00CE086D"/>
    <w:rsid w:val="00CE119A"/>
    <w:rsid w:val="00CE1669"/>
    <w:rsid w:val="00CE1821"/>
    <w:rsid w:val="00CE191E"/>
    <w:rsid w:val="00CE1C03"/>
    <w:rsid w:val="00CE3298"/>
    <w:rsid w:val="00CE37DF"/>
    <w:rsid w:val="00CE412A"/>
    <w:rsid w:val="00CE488A"/>
    <w:rsid w:val="00CE4F8D"/>
    <w:rsid w:val="00CE6675"/>
    <w:rsid w:val="00CE6CBD"/>
    <w:rsid w:val="00CE6EEC"/>
    <w:rsid w:val="00CE762B"/>
    <w:rsid w:val="00CE7D0C"/>
    <w:rsid w:val="00CF10B9"/>
    <w:rsid w:val="00CF1358"/>
    <w:rsid w:val="00CF1F72"/>
    <w:rsid w:val="00CF266D"/>
    <w:rsid w:val="00CF339A"/>
    <w:rsid w:val="00CF3836"/>
    <w:rsid w:val="00CF3939"/>
    <w:rsid w:val="00CF4A29"/>
    <w:rsid w:val="00CF4BFB"/>
    <w:rsid w:val="00CF5AB7"/>
    <w:rsid w:val="00CF5FB8"/>
    <w:rsid w:val="00CF6BB1"/>
    <w:rsid w:val="00CF6BD2"/>
    <w:rsid w:val="00CF7512"/>
    <w:rsid w:val="00CF793D"/>
    <w:rsid w:val="00D019D9"/>
    <w:rsid w:val="00D01AC2"/>
    <w:rsid w:val="00D02C2B"/>
    <w:rsid w:val="00D03AAA"/>
    <w:rsid w:val="00D0583C"/>
    <w:rsid w:val="00D05DD5"/>
    <w:rsid w:val="00D065A0"/>
    <w:rsid w:val="00D06A74"/>
    <w:rsid w:val="00D06B8E"/>
    <w:rsid w:val="00D07466"/>
    <w:rsid w:val="00D075AE"/>
    <w:rsid w:val="00D07E41"/>
    <w:rsid w:val="00D1021F"/>
    <w:rsid w:val="00D106A6"/>
    <w:rsid w:val="00D10C3C"/>
    <w:rsid w:val="00D10FA6"/>
    <w:rsid w:val="00D11467"/>
    <w:rsid w:val="00D12441"/>
    <w:rsid w:val="00D12513"/>
    <w:rsid w:val="00D12748"/>
    <w:rsid w:val="00D14007"/>
    <w:rsid w:val="00D1427C"/>
    <w:rsid w:val="00D145D9"/>
    <w:rsid w:val="00D146D8"/>
    <w:rsid w:val="00D14741"/>
    <w:rsid w:val="00D147BC"/>
    <w:rsid w:val="00D14EB2"/>
    <w:rsid w:val="00D15395"/>
    <w:rsid w:val="00D1677B"/>
    <w:rsid w:val="00D16CC2"/>
    <w:rsid w:val="00D16F78"/>
    <w:rsid w:val="00D177D7"/>
    <w:rsid w:val="00D20002"/>
    <w:rsid w:val="00D20613"/>
    <w:rsid w:val="00D209A6"/>
    <w:rsid w:val="00D21EE2"/>
    <w:rsid w:val="00D22852"/>
    <w:rsid w:val="00D23E27"/>
    <w:rsid w:val="00D24606"/>
    <w:rsid w:val="00D24AAD"/>
    <w:rsid w:val="00D25A4E"/>
    <w:rsid w:val="00D26500"/>
    <w:rsid w:val="00D266A6"/>
    <w:rsid w:val="00D27418"/>
    <w:rsid w:val="00D278E6"/>
    <w:rsid w:val="00D27AF4"/>
    <w:rsid w:val="00D3001B"/>
    <w:rsid w:val="00D30D00"/>
    <w:rsid w:val="00D30D49"/>
    <w:rsid w:val="00D30E0B"/>
    <w:rsid w:val="00D30EFE"/>
    <w:rsid w:val="00D311F6"/>
    <w:rsid w:val="00D3150F"/>
    <w:rsid w:val="00D31720"/>
    <w:rsid w:val="00D31883"/>
    <w:rsid w:val="00D320DA"/>
    <w:rsid w:val="00D325BB"/>
    <w:rsid w:val="00D327A7"/>
    <w:rsid w:val="00D32C59"/>
    <w:rsid w:val="00D333EC"/>
    <w:rsid w:val="00D34152"/>
    <w:rsid w:val="00D343A0"/>
    <w:rsid w:val="00D3648D"/>
    <w:rsid w:val="00D36717"/>
    <w:rsid w:val="00D36751"/>
    <w:rsid w:val="00D37BC6"/>
    <w:rsid w:val="00D4012B"/>
    <w:rsid w:val="00D40D5D"/>
    <w:rsid w:val="00D415D6"/>
    <w:rsid w:val="00D41A38"/>
    <w:rsid w:val="00D435F3"/>
    <w:rsid w:val="00D436C7"/>
    <w:rsid w:val="00D440C6"/>
    <w:rsid w:val="00D45D12"/>
    <w:rsid w:val="00D46152"/>
    <w:rsid w:val="00D4652A"/>
    <w:rsid w:val="00D46753"/>
    <w:rsid w:val="00D46CC4"/>
    <w:rsid w:val="00D46D26"/>
    <w:rsid w:val="00D46F63"/>
    <w:rsid w:val="00D47372"/>
    <w:rsid w:val="00D47890"/>
    <w:rsid w:val="00D50D87"/>
    <w:rsid w:val="00D5125A"/>
    <w:rsid w:val="00D512F6"/>
    <w:rsid w:val="00D51B68"/>
    <w:rsid w:val="00D52AD5"/>
    <w:rsid w:val="00D52EAC"/>
    <w:rsid w:val="00D5405F"/>
    <w:rsid w:val="00D54296"/>
    <w:rsid w:val="00D55C83"/>
    <w:rsid w:val="00D5616A"/>
    <w:rsid w:val="00D566F9"/>
    <w:rsid w:val="00D572BE"/>
    <w:rsid w:val="00D60422"/>
    <w:rsid w:val="00D60470"/>
    <w:rsid w:val="00D60539"/>
    <w:rsid w:val="00D6092F"/>
    <w:rsid w:val="00D61110"/>
    <w:rsid w:val="00D628C7"/>
    <w:rsid w:val="00D62DE5"/>
    <w:rsid w:val="00D63187"/>
    <w:rsid w:val="00D654F2"/>
    <w:rsid w:val="00D6572C"/>
    <w:rsid w:val="00D667A8"/>
    <w:rsid w:val="00D67106"/>
    <w:rsid w:val="00D67B5C"/>
    <w:rsid w:val="00D703D6"/>
    <w:rsid w:val="00D706EF"/>
    <w:rsid w:val="00D708EC"/>
    <w:rsid w:val="00D70FDB"/>
    <w:rsid w:val="00D71B0D"/>
    <w:rsid w:val="00D71BE0"/>
    <w:rsid w:val="00D71CE1"/>
    <w:rsid w:val="00D72B43"/>
    <w:rsid w:val="00D7338A"/>
    <w:rsid w:val="00D7416C"/>
    <w:rsid w:val="00D74EE4"/>
    <w:rsid w:val="00D75678"/>
    <w:rsid w:val="00D7639A"/>
    <w:rsid w:val="00D80294"/>
    <w:rsid w:val="00D802F7"/>
    <w:rsid w:val="00D80FE1"/>
    <w:rsid w:val="00D81208"/>
    <w:rsid w:val="00D81E79"/>
    <w:rsid w:val="00D81F0F"/>
    <w:rsid w:val="00D83016"/>
    <w:rsid w:val="00D83364"/>
    <w:rsid w:val="00D83AF8"/>
    <w:rsid w:val="00D8429E"/>
    <w:rsid w:val="00D855E1"/>
    <w:rsid w:val="00D858BF"/>
    <w:rsid w:val="00D85B5B"/>
    <w:rsid w:val="00D8600A"/>
    <w:rsid w:val="00D86A05"/>
    <w:rsid w:val="00D86EB2"/>
    <w:rsid w:val="00D90781"/>
    <w:rsid w:val="00D909BE"/>
    <w:rsid w:val="00D90A74"/>
    <w:rsid w:val="00D918AC"/>
    <w:rsid w:val="00D926DF"/>
    <w:rsid w:val="00D93402"/>
    <w:rsid w:val="00D94295"/>
    <w:rsid w:val="00D95FE2"/>
    <w:rsid w:val="00D960B4"/>
    <w:rsid w:val="00D9652F"/>
    <w:rsid w:val="00D9684E"/>
    <w:rsid w:val="00D968F7"/>
    <w:rsid w:val="00D96A39"/>
    <w:rsid w:val="00D974CB"/>
    <w:rsid w:val="00D97AE0"/>
    <w:rsid w:val="00DA12D8"/>
    <w:rsid w:val="00DA2E04"/>
    <w:rsid w:val="00DA2ED9"/>
    <w:rsid w:val="00DA3D64"/>
    <w:rsid w:val="00DA4160"/>
    <w:rsid w:val="00DA45D7"/>
    <w:rsid w:val="00DA7BD9"/>
    <w:rsid w:val="00DB00EF"/>
    <w:rsid w:val="00DB062E"/>
    <w:rsid w:val="00DB1827"/>
    <w:rsid w:val="00DB19E1"/>
    <w:rsid w:val="00DB1C0B"/>
    <w:rsid w:val="00DB23C0"/>
    <w:rsid w:val="00DB24FB"/>
    <w:rsid w:val="00DB2914"/>
    <w:rsid w:val="00DB3081"/>
    <w:rsid w:val="00DB354D"/>
    <w:rsid w:val="00DB3878"/>
    <w:rsid w:val="00DB3B3F"/>
    <w:rsid w:val="00DB4B68"/>
    <w:rsid w:val="00DB4E5F"/>
    <w:rsid w:val="00DB5878"/>
    <w:rsid w:val="00DB63DE"/>
    <w:rsid w:val="00DB65CD"/>
    <w:rsid w:val="00DB6650"/>
    <w:rsid w:val="00DB66E4"/>
    <w:rsid w:val="00DB6A0F"/>
    <w:rsid w:val="00DB7752"/>
    <w:rsid w:val="00DC01D6"/>
    <w:rsid w:val="00DC080B"/>
    <w:rsid w:val="00DC2218"/>
    <w:rsid w:val="00DC4E5E"/>
    <w:rsid w:val="00DC51A4"/>
    <w:rsid w:val="00DC526E"/>
    <w:rsid w:val="00DC5A6E"/>
    <w:rsid w:val="00DC5CF3"/>
    <w:rsid w:val="00DC6074"/>
    <w:rsid w:val="00DC71B8"/>
    <w:rsid w:val="00DD083A"/>
    <w:rsid w:val="00DD0D75"/>
    <w:rsid w:val="00DD1896"/>
    <w:rsid w:val="00DD2263"/>
    <w:rsid w:val="00DD22A9"/>
    <w:rsid w:val="00DD3251"/>
    <w:rsid w:val="00DD4A3A"/>
    <w:rsid w:val="00DD584F"/>
    <w:rsid w:val="00DD5F79"/>
    <w:rsid w:val="00DD6DF9"/>
    <w:rsid w:val="00DD75B2"/>
    <w:rsid w:val="00DD75CD"/>
    <w:rsid w:val="00DE0606"/>
    <w:rsid w:val="00DE07BE"/>
    <w:rsid w:val="00DE0FCE"/>
    <w:rsid w:val="00DE364E"/>
    <w:rsid w:val="00DE3692"/>
    <w:rsid w:val="00DE37F6"/>
    <w:rsid w:val="00DE4EEB"/>
    <w:rsid w:val="00DE528E"/>
    <w:rsid w:val="00DE6003"/>
    <w:rsid w:val="00DE6ADB"/>
    <w:rsid w:val="00DE6D35"/>
    <w:rsid w:val="00DE7588"/>
    <w:rsid w:val="00DF024F"/>
    <w:rsid w:val="00DF1F75"/>
    <w:rsid w:val="00DF2233"/>
    <w:rsid w:val="00DF2354"/>
    <w:rsid w:val="00DF2BFA"/>
    <w:rsid w:val="00DF3DF1"/>
    <w:rsid w:val="00DF48A7"/>
    <w:rsid w:val="00DF4DBB"/>
    <w:rsid w:val="00DF53C4"/>
    <w:rsid w:val="00DF640A"/>
    <w:rsid w:val="00DF6DAE"/>
    <w:rsid w:val="00DF7E01"/>
    <w:rsid w:val="00E01408"/>
    <w:rsid w:val="00E0153B"/>
    <w:rsid w:val="00E020B2"/>
    <w:rsid w:val="00E02422"/>
    <w:rsid w:val="00E025FE"/>
    <w:rsid w:val="00E0291B"/>
    <w:rsid w:val="00E02C83"/>
    <w:rsid w:val="00E03535"/>
    <w:rsid w:val="00E0373B"/>
    <w:rsid w:val="00E04206"/>
    <w:rsid w:val="00E04406"/>
    <w:rsid w:val="00E04884"/>
    <w:rsid w:val="00E0562F"/>
    <w:rsid w:val="00E05A5E"/>
    <w:rsid w:val="00E06290"/>
    <w:rsid w:val="00E0671A"/>
    <w:rsid w:val="00E070B4"/>
    <w:rsid w:val="00E07A83"/>
    <w:rsid w:val="00E07ED6"/>
    <w:rsid w:val="00E10A56"/>
    <w:rsid w:val="00E11756"/>
    <w:rsid w:val="00E11900"/>
    <w:rsid w:val="00E11B2F"/>
    <w:rsid w:val="00E12923"/>
    <w:rsid w:val="00E12A16"/>
    <w:rsid w:val="00E12DF4"/>
    <w:rsid w:val="00E12FE2"/>
    <w:rsid w:val="00E14090"/>
    <w:rsid w:val="00E141E8"/>
    <w:rsid w:val="00E14C9F"/>
    <w:rsid w:val="00E15806"/>
    <w:rsid w:val="00E15A88"/>
    <w:rsid w:val="00E16AE3"/>
    <w:rsid w:val="00E176A8"/>
    <w:rsid w:val="00E17C4E"/>
    <w:rsid w:val="00E17F1D"/>
    <w:rsid w:val="00E201DC"/>
    <w:rsid w:val="00E20E59"/>
    <w:rsid w:val="00E2104D"/>
    <w:rsid w:val="00E223A4"/>
    <w:rsid w:val="00E225F1"/>
    <w:rsid w:val="00E22AF1"/>
    <w:rsid w:val="00E246BE"/>
    <w:rsid w:val="00E247D6"/>
    <w:rsid w:val="00E248CB"/>
    <w:rsid w:val="00E25FC2"/>
    <w:rsid w:val="00E269C5"/>
    <w:rsid w:val="00E27479"/>
    <w:rsid w:val="00E276AC"/>
    <w:rsid w:val="00E276D9"/>
    <w:rsid w:val="00E2797B"/>
    <w:rsid w:val="00E30871"/>
    <w:rsid w:val="00E319BB"/>
    <w:rsid w:val="00E32D3E"/>
    <w:rsid w:val="00E342AC"/>
    <w:rsid w:val="00E35185"/>
    <w:rsid w:val="00E35B68"/>
    <w:rsid w:val="00E36162"/>
    <w:rsid w:val="00E3700D"/>
    <w:rsid w:val="00E37657"/>
    <w:rsid w:val="00E40559"/>
    <w:rsid w:val="00E4233D"/>
    <w:rsid w:val="00E43AFE"/>
    <w:rsid w:val="00E43E19"/>
    <w:rsid w:val="00E43F79"/>
    <w:rsid w:val="00E44A23"/>
    <w:rsid w:val="00E44FBA"/>
    <w:rsid w:val="00E468F6"/>
    <w:rsid w:val="00E46CD2"/>
    <w:rsid w:val="00E4761A"/>
    <w:rsid w:val="00E5123C"/>
    <w:rsid w:val="00E512EF"/>
    <w:rsid w:val="00E51F03"/>
    <w:rsid w:val="00E52509"/>
    <w:rsid w:val="00E5290B"/>
    <w:rsid w:val="00E5303A"/>
    <w:rsid w:val="00E53553"/>
    <w:rsid w:val="00E54D08"/>
    <w:rsid w:val="00E55CEF"/>
    <w:rsid w:val="00E56330"/>
    <w:rsid w:val="00E57161"/>
    <w:rsid w:val="00E5734E"/>
    <w:rsid w:val="00E57F7C"/>
    <w:rsid w:val="00E6017B"/>
    <w:rsid w:val="00E60B6E"/>
    <w:rsid w:val="00E60E7E"/>
    <w:rsid w:val="00E61C0B"/>
    <w:rsid w:val="00E61C13"/>
    <w:rsid w:val="00E61EED"/>
    <w:rsid w:val="00E6222F"/>
    <w:rsid w:val="00E62A32"/>
    <w:rsid w:val="00E6346B"/>
    <w:rsid w:val="00E63F13"/>
    <w:rsid w:val="00E65C56"/>
    <w:rsid w:val="00E660F3"/>
    <w:rsid w:val="00E66CD0"/>
    <w:rsid w:val="00E66EE5"/>
    <w:rsid w:val="00E70350"/>
    <w:rsid w:val="00E70693"/>
    <w:rsid w:val="00E70C8F"/>
    <w:rsid w:val="00E71C00"/>
    <w:rsid w:val="00E72AEB"/>
    <w:rsid w:val="00E730C0"/>
    <w:rsid w:val="00E73929"/>
    <w:rsid w:val="00E76ED3"/>
    <w:rsid w:val="00E80B02"/>
    <w:rsid w:val="00E80CBF"/>
    <w:rsid w:val="00E816A4"/>
    <w:rsid w:val="00E834D0"/>
    <w:rsid w:val="00E8434D"/>
    <w:rsid w:val="00E8683E"/>
    <w:rsid w:val="00E868A3"/>
    <w:rsid w:val="00E8694D"/>
    <w:rsid w:val="00E86D0E"/>
    <w:rsid w:val="00E8737B"/>
    <w:rsid w:val="00E87EE4"/>
    <w:rsid w:val="00E90E7D"/>
    <w:rsid w:val="00E9156F"/>
    <w:rsid w:val="00E917F2"/>
    <w:rsid w:val="00E92A1E"/>
    <w:rsid w:val="00E92F3F"/>
    <w:rsid w:val="00E92FE6"/>
    <w:rsid w:val="00E9302A"/>
    <w:rsid w:val="00E932B4"/>
    <w:rsid w:val="00E93397"/>
    <w:rsid w:val="00E936FE"/>
    <w:rsid w:val="00E94008"/>
    <w:rsid w:val="00E94237"/>
    <w:rsid w:val="00E9455A"/>
    <w:rsid w:val="00E946FE"/>
    <w:rsid w:val="00E94AC0"/>
    <w:rsid w:val="00E94FE1"/>
    <w:rsid w:val="00E952BD"/>
    <w:rsid w:val="00E96057"/>
    <w:rsid w:val="00E96240"/>
    <w:rsid w:val="00E9708F"/>
    <w:rsid w:val="00E97397"/>
    <w:rsid w:val="00E97E68"/>
    <w:rsid w:val="00EA056B"/>
    <w:rsid w:val="00EA0608"/>
    <w:rsid w:val="00EA158B"/>
    <w:rsid w:val="00EA43A3"/>
    <w:rsid w:val="00EA48B3"/>
    <w:rsid w:val="00EA4A82"/>
    <w:rsid w:val="00EA4BEE"/>
    <w:rsid w:val="00EA5E6C"/>
    <w:rsid w:val="00EA651C"/>
    <w:rsid w:val="00EA6543"/>
    <w:rsid w:val="00EA70D7"/>
    <w:rsid w:val="00EB096D"/>
    <w:rsid w:val="00EB099A"/>
    <w:rsid w:val="00EB16B7"/>
    <w:rsid w:val="00EB1850"/>
    <w:rsid w:val="00EB196A"/>
    <w:rsid w:val="00EB1FB7"/>
    <w:rsid w:val="00EB2A62"/>
    <w:rsid w:val="00EB2A89"/>
    <w:rsid w:val="00EB2AF4"/>
    <w:rsid w:val="00EB41EE"/>
    <w:rsid w:val="00EB6B03"/>
    <w:rsid w:val="00EB6F7F"/>
    <w:rsid w:val="00EB7160"/>
    <w:rsid w:val="00EB78F4"/>
    <w:rsid w:val="00EB7938"/>
    <w:rsid w:val="00EB7CD1"/>
    <w:rsid w:val="00EB7F67"/>
    <w:rsid w:val="00EC01DD"/>
    <w:rsid w:val="00EC0889"/>
    <w:rsid w:val="00EC1244"/>
    <w:rsid w:val="00EC2117"/>
    <w:rsid w:val="00EC5077"/>
    <w:rsid w:val="00EC57C9"/>
    <w:rsid w:val="00EC62A6"/>
    <w:rsid w:val="00EC68E1"/>
    <w:rsid w:val="00EC6AD4"/>
    <w:rsid w:val="00EC6DD9"/>
    <w:rsid w:val="00EC72F3"/>
    <w:rsid w:val="00EC7603"/>
    <w:rsid w:val="00EC7A93"/>
    <w:rsid w:val="00ED0397"/>
    <w:rsid w:val="00ED04D8"/>
    <w:rsid w:val="00ED0515"/>
    <w:rsid w:val="00ED0566"/>
    <w:rsid w:val="00ED2705"/>
    <w:rsid w:val="00ED2A29"/>
    <w:rsid w:val="00ED341C"/>
    <w:rsid w:val="00ED3FEF"/>
    <w:rsid w:val="00ED4B8B"/>
    <w:rsid w:val="00ED4BE6"/>
    <w:rsid w:val="00ED596E"/>
    <w:rsid w:val="00ED66FB"/>
    <w:rsid w:val="00EE061A"/>
    <w:rsid w:val="00EE0716"/>
    <w:rsid w:val="00EE072B"/>
    <w:rsid w:val="00EE0864"/>
    <w:rsid w:val="00EE1C51"/>
    <w:rsid w:val="00EE2585"/>
    <w:rsid w:val="00EE334E"/>
    <w:rsid w:val="00EE3B97"/>
    <w:rsid w:val="00EE3D92"/>
    <w:rsid w:val="00EE4D43"/>
    <w:rsid w:val="00EE4F68"/>
    <w:rsid w:val="00EE555E"/>
    <w:rsid w:val="00EE5681"/>
    <w:rsid w:val="00EE5D5B"/>
    <w:rsid w:val="00EE61A5"/>
    <w:rsid w:val="00EE6B3D"/>
    <w:rsid w:val="00EE7DC6"/>
    <w:rsid w:val="00EF0A97"/>
    <w:rsid w:val="00EF14F5"/>
    <w:rsid w:val="00EF2204"/>
    <w:rsid w:val="00EF2487"/>
    <w:rsid w:val="00EF3922"/>
    <w:rsid w:val="00EF3F7B"/>
    <w:rsid w:val="00EF509C"/>
    <w:rsid w:val="00EF5C38"/>
    <w:rsid w:val="00EF6091"/>
    <w:rsid w:val="00EF6244"/>
    <w:rsid w:val="00F00723"/>
    <w:rsid w:val="00F013A8"/>
    <w:rsid w:val="00F016B9"/>
    <w:rsid w:val="00F02787"/>
    <w:rsid w:val="00F03451"/>
    <w:rsid w:val="00F034B6"/>
    <w:rsid w:val="00F03A52"/>
    <w:rsid w:val="00F03F57"/>
    <w:rsid w:val="00F04CE0"/>
    <w:rsid w:val="00F05310"/>
    <w:rsid w:val="00F0583F"/>
    <w:rsid w:val="00F0587C"/>
    <w:rsid w:val="00F05A19"/>
    <w:rsid w:val="00F05CDD"/>
    <w:rsid w:val="00F05FD5"/>
    <w:rsid w:val="00F06635"/>
    <w:rsid w:val="00F075E2"/>
    <w:rsid w:val="00F10040"/>
    <w:rsid w:val="00F10980"/>
    <w:rsid w:val="00F10FAD"/>
    <w:rsid w:val="00F11167"/>
    <w:rsid w:val="00F122E1"/>
    <w:rsid w:val="00F125FA"/>
    <w:rsid w:val="00F126E6"/>
    <w:rsid w:val="00F128F5"/>
    <w:rsid w:val="00F129FA"/>
    <w:rsid w:val="00F133D2"/>
    <w:rsid w:val="00F140E3"/>
    <w:rsid w:val="00F15B40"/>
    <w:rsid w:val="00F16D51"/>
    <w:rsid w:val="00F171BA"/>
    <w:rsid w:val="00F172FF"/>
    <w:rsid w:val="00F1748B"/>
    <w:rsid w:val="00F17848"/>
    <w:rsid w:val="00F214F9"/>
    <w:rsid w:val="00F22186"/>
    <w:rsid w:val="00F23E7F"/>
    <w:rsid w:val="00F24000"/>
    <w:rsid w:val="00F244A3"/>
    <w:rsid w:val="00F24576"/>
    <w:rsid w:val="00F245E7"/>
    <w:rsid w:val="00F24AA7"/>
    <w:rsid w:val="00F24D95"/>
    <w:rsid w:val="00F24F6C"/>
    <w:rsid w:val="00F25D05"/>
    <w:rsid w:val="00F2697B"/>
    <w:rsid w:val="00F27129"/>
    <w:rsid w:val="00F271A9"/>
    <w:rsid w:val="00F27262"/>
    <w:rsid w:val="00F27D2A"/>
    <w:rsid w:val="00F27FAC"/>
    <w:rsid w:val="00F30024"/>
    <w:rsid w:val="00F306E2"/>
    <w:rsid w:val="00F3089E"/>
    <w:rsid w:val="00F30EB5"/>
    <w:rsid w:val="00F31618"/>
    <w:rsid w:val="00F31CAA"/>
    <w:rsid w:val="00F31D32"/>
    <w:rsid w:val="00F325F4"/>
    <w:rsid w:val="00F3260D"/>
    <w:rsid w:val="00F3303D"/>
    <w:rsid w:val="00F332F7"/>
    <w:rsid w:val="00F341DB"/>
    <w:rsid w:val="00F35296"/>
    <w:rsid w:val="00F35658"/>
    <w:rsid w:val="00F36FD2"/>
    <w:rsid w:val="00F376EB"/>
    <w:rsid w:val="00F400F7"/>
    <w:rsid w:val="00F40269"/>
    <w:rsid w:val="00F40F30"/>
    <w:rsid w:val="00F410EE"/>
    <w:rsid w:val="00F4116C"/>
    <w:rsid w:val="00F4170F"/>
    <w:rsid w:val="00F42463"/>
    <w:rsid w:val="00F4262D"/>
    <w:rsid w:val="00F4385B"/>
    <w:rsid w:val="00F44B72"/>
    <w:rsid w:val="00F44C70"/>
    <w:rsid w:val="00F456CD"/>
    <w:rsid w:val="00F46A72"/>
    <w:rsid w:val="00F50012"/>
    <w:rsid w:val="00F507CD"/>
    <w:rsid w:val="00F50BFC"/>
    <w:rsid w:val="00F50DB0"/>
    <w:rsid w:val="00F51123"/>
    <w:rsid w:val="00F515E3"/>
    <w:rsid w:val="00F5213D"/>
    <w:rsid w:val="00F53463"/>
    <w:rsid w:val="00F53BDD"/>
    <w:rsid w:val="00F54316"/>
    <w:rsid w:val="00F54AEE"/>
    <w:rsid w:val="00F54C45"/>
    <w:rsid w:val="00F55614"/>
    <w:rsid w:val="00F56151"/>
    <w:rsid w:val="00F56382"/>
    <w:rsid w:val="00F6036B"/>
    <w:rsid w:val="00F61A3D"/>
    <w:rsid w:val="00F61D08"/>
    <w:rsid w:val="00F61D59"/>
    <w:rsid w:val="00F637AE"/>
    <w:rsid w:val="00F63FAF"/>
    <w:rsid w:val="00F643DE"/>
    <w:rsid w:val="00F64C30"/>
    <w:rsid w:val="00F64F36"/>
    <w:rsid w:val="00F6584B"/>
    <w:rsid w:val="00F65FDE"/>
    <w:rsid w:val="00F66235"/>
    <w:rsid w:val="00F66621"/>
    <w:rsid w:val="00F71745"/>
    <w:rsid w:val="00F72A62"/>
    <w:rsid w:val="00F73A29"/>
    <w:rsid w:val="00F76827"/>
    <w:rsid w:val="00F768B5"/>
    <w:rsid w:val="00F7699E"/>
    <w:rsid w:val="00F76ABE"/>
    <w:rsid w:val="00F76F62"/>
    <w:rsid w:val="00F779A6"/>
    <w:rsid w:val="00F801E5"/>
    <w:rsid w:val="00F80DE5"/>
    <w:rsid w:val="00F810C4"/>
    <w:rsid w:val="00F81664"/>
    <w:rsid w:val="00F8173D"/>
    <w:rsid w:val="00F817F7"/>
    <w:rsid w:val="00F81D2B"/>
    <w:rsid w:val="00F82340"/>
    <w:rsid w:val="00F827E6"/>
    <w:rsid w:val="00F82ABF"/>
    <w:rsid w:val="00F837D2"/>
    <w:rsid w:val="00F83CE9"/>
    <w:rsid w:val="00F84005"/>
    <w:rsid w:val="00F8456C"/>
    <w:rsid w:val="00F8514A"/>
    <w:rsid w:val="00F85DAB"/>
    <w:rsid w:val="00F85DFB"/>
    <w:rsid w:val="00F86A8C"/>
    <w:rsid w:val="00F87288"/>
    <w:rsid w:val="00F900FA"/>
    <w:rsid w:val="00F901E2"/>
    <w:rsid w:val="00F9048F"/>
    <w:rsid w:val="00F91BA9"/>
    <w:rsid w:val="00F92A61"/>
    <w:rsid w:val="00F92B7C"/>
    <w:rsid w:val="00F92BF3"/>
    <w:rsid w:val="00F92F7B"/>
    <w:rsid w:val="00F9361F"/>
    <w:rsid w:val="00F94009"/>
    <w:rsid w:val="00F9426D"/>
    <w:rsid w:val="00F94317"/>
    <w:rsid w:val="00F943DC"/>
    <w:rsid w:val="00F94DF7"/>
    <w:rsid w:val="00F95316"/>
    <w:rsid w:val="00F95521"/>
    <w:rsid w:val="00F959BC"/>
    <w:rsid w:val="00F95CDD"/>
    <w:rsid w:val="00F95FE8"/>
    <w:rsid w:val="00F97D3C"/>
    <w:rsid w:val="00FA061A"/>
    <w:rsid w:val="00FA0E7F"/>
    <w:rsid w:val="00FA1229"/>
    <w:rsid w:val="00FA1461"/>
    <w:rsid w:val="00FA16DC"/>
    <w:rsid w:val="00FA2AC1"/>
    <w:rsid w:val="00FA2B59"/>
    <w:rsid w:val="00FA34D4"/>
    <w:rsid w:val="00FA476B"/>
    <w:rsid w:val="00FA4AEB"/>
    <w:rsid w:val="00FA528F"/>
    <w:rsid w:val="00FA54E9"/>
    <w:rsid w:val="00FA5EC7"/>
    <w:rsid w:val="00FA6A2A"/>
    <w:rsid w:val="00FA6D8A"/>
    <w:rsid w:val="00FA76C6"/>
    <w:rsid w:val="00FB12C4"/>
    <w:rsid w:val="00FB1FC2"/>
    <w:rsid w:val="00FB22DA"/>
    <w:rsid w:val="00FB3D09"/>
    <w:rsid w:val="00FB489A"/>
    <w:rsid w:val="00FB50A1"/>
    <w:rsid w:val="00FB538B"/>
    <w:rsid w:val="00FB5F33"/>
    <w:rsid w:val="00FB5FF2"/>
    <w:rsid w:val="00FB61B8"/>
    <w:rsid w:val="00FB6AF2"/>
    <w:rsid w:val="00FB710B"/>
    <w:rsid w:val="00FB7150"/>
    <w:rsid w:val="00FB73B5"/>
    <w:rsid w:val="00FB7C92"/>
    <w:rsid w:val="00FB7E29"/>
    <w:rsid w:val="00FC099B"/>
    <w:rsid w:val="00FC0BB7"/>
    <w:rsid w:val="00FC15DE"/>
    <w:rsid w:val="00FC1842"/>
    <w:rsid w:val="00FC18DD"/>
    <w:rsid w:val="00FC1BE5"/>
    <w:rsid w:val="00FC1EFD"/>
    <w:rsid w:val="00FC20B6"/>
    <w:rsid w:val="00FC2196"/>
    <w:rsid w:val="00FC2D16"/>
    <w:rsid w:val="00FC342E"/>
    <w:rsid w:val="00FC37B9"/>
    <w:rsid w:val="00FC47B5"/>
    <w:rsid w:val="00FC5002"/>
    <w:rsid w:val="00FC6B68"/>
    <w:rsid w:val="00FD0187"/>
    <w:rsid w:val="00FD0AA3"/>
    <w:rsid w:val="00FD0D56"/>
    <w:rsid w:val="00FD0FD3"/>
    <w:rsid w:val="00FD148C"/>
    <w:rsid w:val="00FD1AE6"/>
    <w:rsid w:val="00FD200E"/>
    <w:rsid w:val="00FD2B70"/>
    <w:rsid w:val="00FD2E2D"/>
    <w:rsid w:val="00FD3AE6"/>
    <w:rsid w:val="00FD4164"/>
    <w:rsid w:val="00FD5B28"/>
    <w:rsid w:val="00FD65BA"/>
    <w:rsid w:val="00FD74D7"/>
    <w:rsid w:val="00FD76E7"/>
    <w:rsid w:val="00FD7EBF"/>
    <w:rsid w:val="00FE131D"/>
    <w:rsid w:val="00FE24C4"/>
    <w:rsid w:val="00FE2E89"/>
    <w:rsid w:val="00FE38C4"/>
    <w:rsid w:val="00FE45B5"/>
    <w:rsid w:val="00FE4BC8"/>
    <w:rsid w:val="00FE4C67"/>
    <w:rsid w:val="00FE5512"/>
    <w:rsid w:val="00FE5581"/>
    <w:rsid w:val="00FE628F"/>
    <w:rsid w:val="00FE7FBE"/>
    <w:rsid w:val="00FF0529"/>
    <w:rsid w:val="00FF0C2F"/>
    <w:rsid w:val="00FF1651"/>
    <w:rsid w:val="00FF193F"/>
    <w:rsid w:val="00FF1D66"/>
    <w:rsid w:val="00FF25F8"/>
    <w:rsid w:val="00FF314C"/>
    <w:rsid w:val="00FF32AD"/>
    <w:rsid w:val="00FF345B"/>
    <w:rsid w:val="00FF35CB"/>
    <w:rsid w:val="00FF4DA2"/>
    <w:rsid w:val="00FF53FD"/>
    <w:rsid w:val="00FF5C07"/>
    <w:rsid w:val="00FF5F55"/>
    <w:rsid w:val="00FF670E"/>
    <w:rsid w:val="00FF6DD9"/>
    <w:rsid w:val="00FF712D"/>
    <w:rsid w:val="00FF72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9D9611"/>
  <w15:docId w15:val="{00C998FB-D8F4-473B-9F64-46FE1423C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4B5"/>
    <w:rPr>
      <w:sz w:val="24"/>
      <w:szCs w:val="24"/>
    </w:rPr>
  </w:style>
  <w:style w:type="paragraph" w:styleId="Heading1">
    <w:name w:val="heading 1"/>
    <w:basedOn w:val="Normal"/>
    <w:next w:val="Normal"/>
    <w:link w:val="Heading1Char"/>
    <w:uiPriority w:val="1"/>
    <w:qFormat/>
    <w:rsid w:val="00BC3956"/>
    <w:pPr>
      <w:keepNext/>
      <w:keepLines/>
      <w:spacing w:before="480"/>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aliases w:val="Heading 2 Char1,Heading 2 Char Char,Heading 2 Char1 Char Char,Heading 2 Char Char1 Char Char,Chapter Headings Char Char Char Char,Heading 2 Char Char Char Char1 Char Char,Heading 2 Char Char Char1 Char Char,Heading 2 Char1 Char"/>
    <w:basedOn w:val="Heading3"/>
    <w:next w:val="Normal"/>
    <w:qFormat/>
    <w:rsid w:val="00C673EF"/>
    <w:pPr>
      <w:spacing w:before="420" w:line="360" w:lineRule="exact"/>
      <w:outlineLvl w:val="1"/>
    </w:pPr>
    <w:rPr>
      <w:sz w:val="28"/>
      <w:szCs w:val="28"/>
    </w:rPr>
  </w:style>
  <w:style w:type="paragraph" w:styleId="Heading3">
    <w:name w:val="heading 3"/>
    <w:aliases w:val="Section Headings"/>
    <w:basedOn w:val="Normal"/>
    <w:next w:val="Normal"/>
    <w:qFormat/>
    <w:rsid w:val="00C673EF"/>
    <w:pPr>
      <w:keepNext/>
      <w:keepLines/>
      <w:spacing w:before="220" w:after="60" w:line="280" w:lineRule="exact"/>
      <w:outlineLvl w:val="2"/>
    </w:pPr>
    <w:rPr>
      <w:kern w:val="8"/>
      <w:lang w:bidi="he-IL"/>
    </w:rPr>
  </w:style>
  <w:style w:type="paragraph" w:styleId="Heading4">
    <w:name w:val="heading 4"/>
    <w:basedOn w:val="Normal"/>
    <w:next w:val="Normal"/>
    <w:link w:val="Heading4Char"/>
    <w:semiHidden/>
    <w:unhideWhenUsed/>
    <w:qFormat/>
    <w:rsid w:val="00B1153C"/>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C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AE354A"/>
    <w:pPr>
      <w:tabs>
        <w:tab w:val="center" w:pos="4320"/>
        <w:tab w:val="right" w:pos="8640"/>
      </w:tabs>
    </w:pPr>
  </w:style>
  <w:style w:type="character" w:styleId="PageNumber">
    <w:name w:val="page number"/>
    <w:basedOn w:val="DefaultParagraphFont"/>
    <w:rsid w:val="00AE354A"/>
  </w:style>
  <w:style w:type="paragraph" w:styleId="Header">
    <w:name w:val="header"/>
    <w:basedOn w:val="Normal"/>
    <w:link w:val="HeaderChar"/>
    <w:rsid w:val="00D440C6"/>
    <w:pPr>
      <w:tabs>
        <w:tab w:val="center" w:pos="4320"/>
        <w:tab w:val="right" w:pos="8640"/>
      </w:tabs>
    </w:pPr>
  </w:style>
  <w:style w:type="paragraph" w:styleId="FootnoteText">
    <w:name w:val="footnote text"/>
    <w:aliases w:val="Char,Footnote New,Footnote Text Char,Footnote Text Char1,Footnote Text Char2,Footnote Text Char11,Footnote Text Char3,Footnote Text Char4,Footnote Text Char5,Footnote Text Char6,Footnote Text Char12,Footnote Text Char21,ARM footnote Text"/>
    <w:basedOn w:val="Normal"/>
    <w:semiHidden/>
    <w:rsid w:val="00C673EF"/>
    <w:pPr>
      <w:tabs>
        <w:tab w:val="left" w:pos="480"/>
      </w:tabs>
      <w:spacing w:line="240" w:lineRule="exact"/>
      <w:ind w:left="480" w:hanging="480"/>
      <w:jc w:val="both"/>
    </w:pPr>
    <w:rPr>
      <w:kern w:val="8"/>
      <w:sz w:val="20"/>
      <w:szCs w:val="20"/>
      <w:lang w:bidi="he-IL"/>
    </w:rPr>
  </w:style>
  <w:style w:type="paragraph" w:styleId="BodyTextIndent2">
    <w:name w:val="Body Text Indent 2"/>
    <w:basedOn w:val="Normal"/>
    <w:rsid w:val="00C673EF"/>
    <w:pPr>
      <w:spacing w:before="120" w:line="240" w:lineRule="exact"/>
      <w:ind w:left="720"/>
      <w:jc w:val="both"/>
    </w:pPr>
    <w:rPr>
      <w:sz w:val="20"/>
      <w:szCs w:val="20"/>
    </w:rPr>
  </w:style>
  <w:style w:type="paragraph" w:customStyle="1" w:styleId="Numberedparagraphwithsection">
    <w:name w:val="Numbered paragraph with section"/>
    <w:basedOn w:val="Normal"/>
    <w:rsid w:val="00C673EF"/>
    <w:pPr>
      <w:tabs>
        <w:tab w:val="right" w:pos="360"/>
        <w:tab w:val="left" w:pos="720"/>
      </w:tabs>
      <w:spacing w:before="120" w:line="240" w:lineRule="exact"/>
      <w:ind w:left="720" w:hanging="720"/>
      <w:jc w:val="both"/>
    </w:pPr>
    <w:rPr>
      <w:kern w:val="8"/>
      <w:sz w:val="20"/>
      <w:szCs w:val="20"/>
    </w:rPr>
  </w:style>
  <w:style w:type="paragraph" w:customStyle="1" w:styleId="LetteredList">
    <w:name w:val="Lettered List"/>
    <w:basedOn w:val="Normal"/>
    <w:link w:val="LetteredListChar"/>
    <w:rsid w:val="00C673EF"/>
    <w:pPr>
      <w:numPr>
        <w:numId w:val="1"/>
      </w:numPr>
      <w:tabs>
        <w:tab w:val="left" w:pos="1267"/>
      </w:tabs>
      <w:spacing w:before="120" w:line="240" w:lineRule="exact"/>
      <w:jc w:val="both"/>
    </w:pPr>
    <w:rPr>
      <w:sz w:val="20"/>
      <w:szCs w:val="20"/>
    </w:rPr>
  </w:style>
  <w:style w:type="paragraph" w:customStyle="1" w:styleId="BulletedListundernumpara">
    <w:name w:val="Bulleted List under num para"/>
    <w:basedOn w:val="Normal"/>
    <w:rsid w:val="00C673EF"/>
    <w:pPr>
      <w:numPr>
        <w:numId w:val="2"/>
      </w:numPr>
      <w:tabs>
        <w:tab w:val="left" w:pos="1267"/>
      </w:tabs>
      <w:spacing w:before="120" w:line="240" w:lineRule="exact"/>
      <w:jc w:val="both"/>
    </w:pPr>
    <w:rPr>
      <w:sz w:val="20"/>
      <w:szCs w:val="20"/>
    </w:rPr>
  </w:style>
  <w:style w:type="paragraph" w:customStyle="1" w:styleId="L1NumParNoNumLeft05">
    <w:name w:val="L1NumParNoNum + Left:  0.5&quot;"/>
    <w:basedOn w:val="Normal"/>
    <w:rsid w:val="00C673EF"/>
    <w:pPr>
      <w:spacing w:before="120" w:line="240" w:lineRule="exact"/>
      <w:ind w:left="720"/>
      <w:jc w:val="both"/>
    </w:pPr>
    <w:rPr>
      <w:sz w:val="20"/>
      <w:szCs w:val="20"/>
    </w:rPr>
  </w:style>
  <w:style w:type="character" w:styleId="FootnoteReference">
    <w:name w:val="footnote reference"/>
    <w:basedOn w:val="DefaultParagraphFont"/>
    <w:semiHidden/>
    <w:rsid w:val="00C673EF"/>
    <w:rPr>
      <w:vertAlign w:val="superscript"/>
    </w:rPr>
  </w:style>
  <w:style w:type="paragraph" w:styleId="BalloonText">
    <w:name w:val="Balloon Text"/>
    <w:basedOn w:val="Normal"/>
    <w:semiHidden/>
    <w:rsid w:val="002B1880"/>
    <w:rPr>
      <w:rFonts w:ascii="Tahoma" w:hAnsi="Tahoma" w:cs="Tahoma"/>
      <w:sz w:val="16"/>
      <w:szCs w:val="16"/>
    </w:rPr>
  </w:style>
  <w:style w:type="character" w:customStyle="1" w:styleId="Heading4Char">
    <w:name w:val="Heading 4 Char"/>
    <w:basedOn w:val="DefaultParagraphFont"/>
    <w:link w:val="Heading4"/>
    <w:semiHidden/>
    <w:rsid w:val="00B1153C"/>
    <w:rPr>
      <w:rFonts w:ascii="Calibri" w:eastAsia="Times New Roman" w:hAnsi="Calibri" w:cs="Times New Roman"/>
      <w:b/>
      <w:bCs/>
      <w:sz w:val="28"/>
      <w:szCs w:val="28"/>
    </w:rPr>
  </w:style>
  <w:style w:type="paragraph" w:customStyle="1" w:styleId="NumberedParagraph">
    <w:name w:val="Numbered Paragraph"/>
    <w:basedOn w:val="Normal"/>
    <w:link w:val="NumberedParagraphChar1"/>
    <w:rsid w:val="00B1153C"/>
    <w:pPr>
      <w:tabs>
        <w:tab w:val="right" w:pos="312"/>
        <w:tab w:val="left" w:pos="480"/>
      </w:tabs>
      <w:spacing w:before="120" w:line="240" w:lineRule="exact"/>
      <w:ind w:left="480" w:hanging="480"/>
      <w:jc w:val="both"/>
    </w:pPr>
    <w:rPr>
      <w:sz w:val="20"/>
      <w:szCs w:val="20"/>
    </w:rPr>
  </w:style>
  <w:style w:type="character" w:customStyle="1" w:styleId="LetteredListChar">
    <w:name w:val="Lettered List Char"/>
    <w:basedOn w:val="DefaultParagraphFont"/>
    <w:link w:val="LetteredList"/>
    <w:rsid w:val="00B1153C"/>
  </w:style>
  <w:style w:type="character" w:customStyle="1" w:styleId="NumberedParagraphChar1">
    <w:name w:val="Numbered Paragraph Char1"/>
    <w:basedOn w:val="DefaultParagraphFont"/>
    <w:link w:val="NumberedParagraph"/>
    <w:rsid w:val="00B1153C"/>
  </w:style>
  <w:style w:type="character" w:styleId="CommentReference">
    <w:name w:val="annotation reference"/>
    <w:basedOn w:val="DefaultParagraphFont"/>
    <w:uiPriority w:val="99"/>
    <w:rsid w:val="001316A7"/>
    <w:rPr>
      <w:sz w:val="16"/>
      <w:szCs w:val="16"/>
    </w:rPr>
  </w:style>
  <w:style w:type="paragraph" w:styleId="CommentText">
    <w:name w:val="annotation text"/>
    <w:basedOn w:val="Normal"/>
    <w:link w:val="CommentTextChar"/>
    <w:uiPriority w:val="99"/>
    <w:rsid w:val="001316A7"/>
    <w:rPr>
      <w:sz w:val="20"/>
      <w:szCs w:val="20"/>
    </w:rPr>
  </w:style>
  <w:style w:type="character" w:customStyle="1" w:styleId="CommentTextChar">
    <w:name w:val="Comment Text Char"/>
    <w:basedOn w:val="DefaultParagraphFont"/>
    <w:link w:val="CommentText"/>
    <w:uiPriority w:val="99"/>
    <w:rsid w:val="001316A7"/>
  </w:style>
  <w:style w:type="paragraph" w:styleId="CommentSubject">
    <w:name w:val="annotation subject"/>
    <w:basedOn w:val="CommentText"/>
    <w:next w:val="CommentText"/>
    <w:link w:val="CommentSubjectChar"/>
    <w:rsid w:val="001316A7"/>
    <w:rPr>
      <w:b/>
      <w:bCs/>
    </w:rPr>
  </w:style>
  <w:style w:type="character" w:customStyle="1" w:styleId="CommentSubjectChar">
    <w:name w:val="Comment Subject Char"/>
    <w:basedOn w:val="CommentTextChar"/>
    <w:link w:val="CommentSubject"/>
    <w:rsid w:val="001316A7"/>
    <w:rPr>
      <w:b/>
      <w:bCs/>
    </w:rPr>
  </w:style>
  <w:style w:type="paragraph" w:styleId="Revision">
    <w:name w:val="Revision"/>
    <w:hidden/>
    <w:uiPriority w:val="99"/>
    <w:semiHidden/>
    <w:rsid w:val="001316A7"/>
    <w:rPr>
      <w:sz w:val="24"/>
      <w:szCs w:val="24"/>
    </w:rPr>
  </w:style>
  <w:style w:type="paragraph" w:styleId="ListParagraph">
    <w:name w:val="List Paragraph"/>
    <w:basedOn w:val="Normal"/>
    <w:uiPriority w:val="34"/>
    <w:qFormat/>
    <w:rsid w:val="00F456CD"/>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C532F8"/>
    <w:rPr>
      <w:color w:val="0000FF"/>
      <w:u w:val="single"/>
    </w:rPr>
  </w:style>
  <w:style w:type="paragraph" w:styleId="BodyText">
    <w:name w:val="Body Text"/>
    <w:basedOn w:val="Normal"/>
    <w:link w:val="BodyTextChar"/>
    <w:rsid w:val="00BC3956"/>
    <w:pPr>
      <w:spacing w:after="120"/>
    </w:pPr>
  </w:style>
  <w:style w:type="character" w:customStyle="1" w:styleId="BodyTextChar">
    <w:name w:val="Body Text Char"/>
    <w:basedOn w:val="DefaultParagraphFont"/>
    <w:link w:val="BodyText"/>
    <w:rsid w:val="00BC3956"/>
    <w:rPr>
      <w:sz w:val="24"/>
      <w:szCs w:val="24"/>
    </w:rPr>
  </w:style>
  <w:style w:type="character" w:customStyle="1" w:styleId="Heading1Char">
    <w:name w:val="Heading 1 Char"/>
    <w:basedOn w:val="DefaultParagraphFont"/>
    <w:link w:val="Heading1"/>
    <w:uiPriority w:val="1"/>
    <w:rsid w:val="00BC3956"/>
    <w:rPr>
      <w:rFonts w:asciiTheme="majorHAnsi" w:eastAsiaTheme="majorEastAsia" w:hAnsiTheme="majorHAnsi" w:cstheme="majorBidi"/>
      <w:b/>
      <w:bCs/>
      <w:color w:val="365F91" w:themeColor="accent1" w:themeShade="BF"/>
      <w:sz w:val="28"/>
      <w:szCs w:val="28"/>
      <w:lang w:val="en-GB"/>
    </w:rPr>
  </w:style>
  <w:style w:type="paragraph" w:customStyle="1" w:styleId="Indent">
    <w:name w:val="Indent"/>
    <w:basedOn w:val="Normal"/>
    <w:rsid w:val="00BC3956"/>
    <w:pPr>
      <w:tabs>
        <w:tab w:val="left" w:pos="960"/>
      </w:tabs>
      <w:spacing w:before="140" w:line="280" w:lineRule="exact"/>
      <w:ind w:left="960" w:hanging="480"/>
      <w:jc w:val="both"/>
    </w:pPr>
    <w:rPr>
      <w:kern w:val="8"/>
      <w:lang w:bidi="he-IL"/>
    </w:rPr>
  </w:style>
  <w:style w:type="paragraph" w:customStyle="1" w:styleId="Default">
    <w:name w:val="Default"/>
    <w:rsid w:val="00F3089E"/>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FF0529"/>
    <w:rPr>
      <w:sz w:val="24"/>
      <w:szCs w:val="24"/>
    </w:rPr>
  </w:style>
  <w:style w:type="character" w:customStyle="1" w:styleId="HeaderChar">
    <w:name w:val="Header Char"/>
    <w:basedOn w:val="DefaultParagraphFont"/>
    <w:link w:val="Header"/>
    <w:rsid w:val="00FF0529"/>
    <w:rPr>
      <w:sz w:val="24"/>
      <w:szCs w:val="24"/>
    </w:rPr>
  </w:style>
  <w:style w:type="table" w:customStyle="1" w:styleId="TableGrid1">
    <w:name w:val="Table Grid1"/>
    <w:basedOn w:val="TableNormal"/>
    <w:next w:val="TableGrid"/>
    <w:uiPriority w:val="59"/>
    <w:rsid w:val="0092382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321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rsid w:val="00F91BA9"/>
    <w:rPr>
      <w:sz w:val="20"/>
      <w:szCs w:val="20"/>
    </w:rPr>
  </w:style>
  <w:style w:type="character" w:customStyle="1" w:styleId="EndnoteTextChar">
    <w:name w:val="Endnote Text Char"/>
    <w:basedOn w:val="DefaultParagraphFont"/>
    <w:link w:val="EndnoteText"/>
    <w:rsid w:val="00F91BA9"/>
  </w:style>
  <w:style w:type="character" w:styleId="EndnoteReference">
    <w:name w:val="endnote reference"/>
    <w:basedOn w:val="DefaultParagraphFont"/>
    <w:rsid w:val="00F91BA9"/>
    <w:rPr>
      <w:vertAlign w:val="superscript"/>
    </w:rPr>
  </w:style>
  <w:style w:type="table" w:customStyle="1" w:styleId="TableGrid3">
    <w:name w:val="Table Grid3"/>
    <w:basedOn w:val="TableNormal"/>
    <w:next w:val="TableGrid"/>
    <w:uiPriority w:val="59"/>
    <w:rsid w:val="00A709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8F2F61"/>
    <w:pPr>
      <w:spacing w:line="276" w:lineRule="auto"/>
      <w:outlineLvl w:val="9"/>
    </w:pPr>
    <w:rPr>
      <w:lang w:val="en-US" w:eastAsia="ja-JP"/>
    </w:rPr>
  </w:style>
  <w:style w:type="character" w:styleId="Strong">
    <w:name w:val="Strong"/>
    <w:basedOn w:val="DefaultParagraphFont"/>
    <w:uiPriority w:val="22"/>
    <w:qFormat/>
    <w:rsid w:val="00AC493F"/>
    <w:rPr>
      <w:b/>
      <w:bCs/>
    </w:rPr>
  </w:style>
  <w:style w:type="paragraph" w:styleId="NormalWeb">
    <w:name w:val="Normal (Web)"/>
    <w:basedOn w:val="Normal"/>
    <w:uiPriority w:val="99"/>
    <w:unhideWhenUsed/>
    <w:rsid w:val="00AC493F"/>
    <w:pPr>
      <w:spacing w:before="100" w:beforeAutospacing="1" w:after="150"/>
    </w:pPr>
  </w:style>
  <w:style w:type="paragraph" w:customStyle="1" w:styleId="StyleLeft585pt">
    <w:name w:val="Style Left:  58.5 pt"/>
    <w:basedOn w:val="Normal"/>
    <w:rsid w:val="003C05A6"/>
    <w:pPr>
      <w:spacing w:line="280" w:lineRule="exact"/>
      <w:ind w:left="1170"/>
    </w:pPr>
    <w:rPr>
      <w:rFonts w:ascii="Times" w:hAnsi="Time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2677">
      <w:bodyDiv w:val="1"/>
      <w:marLeft w:val="0"/>
      <w:marRight w:val="0"/>
      <w:marTop w:val="0"/>
      <w:marBottom w:val="0"/>
      <w:divBdr>
        <w:top w:val="none" w:sz="0" w:space="0" w:color="auto"/>
        <w:left w:val="none" w:sz="0" w:space="0" w:color="auto"/>
        <w:bottom w:val="none" w:sz="0" w:space="0" w:color="auto"/>
        <w:right w:val="none" w:sz="0" w:space="0" w:color="auto"/>
      </w:divBdr>
    </w:div>
    <w:div w:id="93287296">
      <w:bodyDiv w:val="1"/>
      <w:marLeft w:val="0"/>
      <w:marRight w:val="0"/>
      <w:marTop w:val="0"/>
      <w:marBottom w:val="0"/>
      <w:divBdr>
        <w:top w:val="none" w:sz="0" w:space="0" w:color="auto"/>
        <w:left w:val="none" w:sz="0" w:space="0" w:color="auto"/>
        <w:bottom w:val="none" w:sz="0" w:space="0" w:color="auto"/>
        <w:right w:val="none" w:sz="0" w:space="0" w:color="auto"/>
      </w:divBdr>
      <w:divsChild>
        <w:div w:id="481578580">
          <w:marLeft w:val="0"/>
          <w:marRight w:val="0"/>
          <w:marTop w:val="0"/>
          <w:marBottom w:val="0"/>
          <w:divBdr>
            <w:top w:val="none" w:sz="0" w:space="0" w:color="auto"/>
            <w:left w:val="none" w:sz="0" w:space="0" w:color="auto"/>
            <w:bottom w:val="none" w:sz="0" w:space="0" w:color="auto"/>
            <w:right w:val="none" w:sz="0" w:space="0" w:color="auto"/>
          </w:divBdr>
          <w:divsChild>
            <w:div w:id="1976178977">
              <w:marLeft w:val="0"/>
              <w:marRight w:val="0"/>
              <w:marTop w:val="0"/>
              <w:marBottom w:val="0"/>
              <w:divBdr>
                <w:top w:val="none" w:sz="0" w:space="0" w:color="auto"/>
                <w:left w:val="none" w:sz="0" w:space="0" w:color="auto"/>
                <w:bottom w:val="none" w:sz="0" w:space="0" w:color="auto"/>
                <w:right w:val="none" w:sz="0" w:space="0" w:color="auto"/>
              </w:divBdr>
              <w:divsChild>
                <w:div w:id="1618638215">
                  <w:marLeft w:val="0"/>
                  <w:marRight w:val="0"/>
                  <w:marTop w:val="0"/>
                  <w:marBottom w:val="0"/>
                  <w:divBdr>
                    <w:top w:val="none" w:sz="0" w:space="0" w:color="auto"/>
                    <w:left w:val="none" w:sz="0" w:space="0" w:color="auto"/>
                    <w:bottom w:val="none" w:sz="0" w:space="0" w:color="auto"/>
                    <w:right w:val="none" w:sz="0" w:space="0" w:color="auto"/>
                  </w:divBdr>
                  <w:divsChild>
                    <w:div w:id="345907585">
                      <w:marLeft w:val="0"/>
                      <w:marRight w:val="0"/>
                      <w:marTop w:val="0"/>
                      <w:marBottom w:val="0"/>
                      <w:divBdr>
                        <w:top w:val="none" w:sz="0" w:space="0" w:color="auto"/>
                        <w:left w:val="none" w:sz="0" w:space="0" w:color="auto"/>
                        <w:bottom w:val="none" w:sz="0" w:space="0" w:color="auto"/>
                        <w:right w:val="none" w:sz="0" w:space="0" w:color="auto"/>
                      </w:divBdr>
                      <w:divsChild>
                        <w:div w:id="816384808">
                          <w:marLeft w:val="0"/>
                          <w:marRight w:val="0"/>
                          <w:marTop w:val="0"/>
                          <w:marBottom w:val="0"/>
                          <w:divBdr>
                            <w:top w:val="none" w:sz="0" w:space="0" w:color="auto"/>
                            <w:left w:val="none" w:sz="0" w:space="0" w:color="auto"/>
                            <w:bottom w:val="none" w:sz="0" w:space="0" w:color="auto"/>
                            <w:right w:val="none" w:sz="0" w:space="0" w:color="auto"/>
                          </w:divBdr>
                          <w:divsChild>
                            <w:div w:id="1687250809">
                              <w:marLeft w:val="0"/>
                              <w:marRight w:val="300"/>
                              <w:marTop w:val="0"/>
                              <w:marBottom w:val="0"/>
                              <w:divBdr>
                                <w:top w:val="none" w:sz="0" w:space="0" w:color="auto"/>
                                <w:left w:val="none" w:sz="0" w:space="0" w:color="auto"/>
                                <w:bottom w:val="none" w:sz="0" w:space="0" w:color="auto"/>
                                <w:right w:val="none" w:sz="0" w:space="0" w:color="auto"/>
                              </w:divBdr>
                              <w:divsChild>
                                <w:div w:id="566847154">
                                  <w:marLeft w:val="0"/>
                                  <w:marRight w:val="0"/>
                                  <w:marTop w:val="0"/>
                                  <w:marBottom w:val="0"/>
                                  <w:divBdr>
                                    <w:top w:val="none" w:sz="0" w:space="0" w:color="auto"/>
                                    <w:left w:val="none" w:sz="0" w:space="0" w:color="auto"/>
                                    <w:bottom w:val="none" w:sz="0" w:space="0" w:color="auto"/>
                                    <w:right w:val="none" w:sz="0" w:space="0" w:color="auto"/>
                                  </w:divBdr>
                                  <w:divsChild>
                                    <w:div w:id="1151940506">
                                      <w:marLeft w:val="0"/>
                                      <w:marRight w:val="0"/>
                                      <w:marTop w:val="0"/>
                                      <w:marBottom w:val="0"/>
                                      <w:divBdr>
                                        <w:top w:val="none" w:sz="0" w:space="0" w:color="auto"/>
                                        <w:left w:val="none" w:sz="0" w:space="0" w:color="auto"/>
                                        <w:bottom w:val="none" w:sz="0" w:space="0" w:color="auto"/>
                                        <w:right w:val="none" w:sz="0" w:space="0" w:color="auto"/>
                                      </w:divBdr>
                                      <w:divsChild>
                                        <w:div w:id="1288897501">
                                          <w:marLeft w:val="0"/>
                                          <w:marRight w:val="-100"/>
                                          <w:marTop w:val="0"/>
                                          <w:marBottom w:val="0"/>
                                          <w:divBdr>
                                            <w:top w:val="none" w:sz="0" w:space="0" w:color="auto"/>
                                            <w:left w:val="none" w:sz="0" w:space="0" w:color="auto"/>
                                            <w:bottom w:val="none" w:sz="0" w:space="0" w:color="auto"/>
                                            <w:right w:val="none" w:sz="0" w:space="0" w:color="auto"/>
                                          </w:divBdr>
                                          <w:divsChild>
                                            <w:div w:id="506136732">
                                              <w:marLeft w:val="0"/>
                                              <w:marRight w:val="0"/>
                                              <w:marTop w:val="0"/>
                                              <w:marBottom w:val="0"/>
                                              <w:divBdr>
                                                <w:top w:val="none" w:sz="0" w:space="0" w:color="auto"/>
                                                <w:left w:val="none" w:sz="0" w:space="0" w:color="auto"/>
                                                <w:bottom w:val="none" w:sz="0" w:space="0" w:color="auto"/>
                                                <w:right w:val="none" w:sz="0" w:space="0" w:color="auto"/>
                                              </w:divBdr>
                                              <w:divsChild>
                                                <w:div w:id="37324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205501">
      <w:bodyDiv w:val="1"/>
      <w:marLeft w:val="0"/>
      <w:marRight w:val="0"/>
      <w:marTop w:val="0"/>
      <w:marBottom w:val="0"/>
      <w:divBdr>
        <w:top w:val="none" w:sz="0" w:space="0" w:color="auto"/>
        <w:left w:val="none" w:sz="0" w:space="0" w:color="auto"/>
        <w:bottom w:val="none" w:sz="0" w:space="0" w:color="auto"/>
        <w:right w:val="none" w:sz="0" w:space="0" w:color="auto"/>
      </w:divBdr>
    </w:div>
    <w:div w:id="220601111">
      <w:bodyDiv w:val="1"/>
      <w:marLeft w:val="0"/>
      <w:marRight w:val="0"/>
      <w:marTop w:val="0"/>
      <w:marBottom w:val="0"/>
      <w:divBdr>
        <w:top w:val="none" w:sz="0" w:space="0" w:color="auto"/>
        <w:left w:val="none" w:sz="0" w:space="0" w:color="auto"/>
        <w:bottom w:val="none" w:sz="0" w:space="0" w:color="auto"/>
        <w:right w:val="none" w:sz="0" w:space="0" w:color="auto"/>
      </w:divBdr>
    </w:div>
    <w:div w:id="425853952">
      <w:bodyDiv w:val="1"/>
      <w:marLeft w:val="0"/>
      <w:marRight w:val="0"/>
      <w:marTop w:val="0"/>
      <w:marBottom w:val="0"/>
      <w:divBdr>
        <w:top w:val="none" w:sz="0" w:space="0" w:color="auto"/>
        <w:left w:val="none" w:sz="0" w:space="0" w:color="auto"/>
        <w:bottom w:val="none" w:sz="0" w:space="0" w:color="auto"/>
        <w:right w:val="none" w:sz="0" w:space="0" w:color="auto"/>
      </w:divBdr>
      <w:divsChild>
        <w:div w:id="1476533928">
          <w:marLeft w:val="0"/>
          <w:marRight w:val="0"/>
          <w:marTop w:val="0"/>
          <w:marBottom w:val="0"/>
          <w:divBdr>
            <w:top w:val="none" w:sz="0" w:space="0" w:color="auto"/>
            <w:left w:val="none" w:sz="0" w:space="0" w:color="auto"/>
            <w:bottom w:val="none" w:sz="0" w:space="0" w:color="auto"/>
            <w:right w:val="none" w:sz="0" w:space="0" w:color="auto"/>
          </w:divBdr>
          <w:divsChild>
            <w:div w:id="1052463672">
              <w:marLeft w:val="0"/>
              <w:marRight w:val="0"/>
              <w:marTop w:val="0"/>
              <w:marBottom w:val="0"/>
              <w:divBdr>
                <w:top w:val="none" w:sz="0" w:space="0" w:color="auto"/>
                <w:left w:val="none" w:sz="0" w:space="0" w:color="auto"/>
                <w:bottom w:val="none" w:sz="0" w:space="0" w:color="auto"/>
                <w:right w:val="none" w:sz="0" w:space="0" w:color="auto"/>
              </w:divBdr>
              <w:divsChild>
                <w:div w:id="895509025">
                  <w:marLeft w:val="0"/>
                  <w:marRight w:val="0"/>
                  <w:marTop w:val="0"/>
                  <w:marBottom w:val="0"/>
                  <w:divBdr>
                    <w:top w:val="none" w:sz="0" w:space="0" w:color="auto"/>
                    <w:left w:val="none" w:sz="0" w:space="0" w:color="auto"/>
                    <w:bottom w:val="none" w:sz="0" w:space="0" w:color="auto"/>
                    <w:right w:val="none" w:sz="0" w:space="0" w:color="auto"/>
                  </w:divBdr>
                  <w:divsChild>
                    <w:div w:id="258565729">
                      <w:marLeft w:val="0"/>
                      <w:marRight w:val="0"/>
                      <w:marTop w:val="0"/>
                      <w:marBottom w:val="0"/>
                      <w:divBdr>
                        <w:top w:val="none" w:sz="0" w:space="0" w:color="auto"/>
                        <w:left w:val="none" w:sz="0" w:space="0" w:color="auto"/>
                        <w:bottom w:val="none" w:sz="0" w:space="0" w:color="auto"/>
                        <w:right w:val="none" w:sz="0" w:space="0" w:color="auto"/>
                      </w:divBdr>
                      <w:divsChild>
                        <w:div w:id="1158114208">
                          <w:marLeft w:val="0"/>
                          <w:marRight w:val="0"/>
                          <w:marTop w:val="0"/>
                          <w:marBottom w:val="0"/>
                          <w:divBdr>
                            <w:top w:val="none" w:sz="0" w:space="0" w:color="auto"/>
                            <w:left w:val="none" w:sz="0" w:space="0" w:color="auto"/>
                            <w:bottom w:val="none" w:sz="0" w:space="0" w:color="auto"/>
                            <w:right w:val="none" w:sz="0" w:space="0" w:color="auto"/>
                          </w:divBdr>
                          <w:divsChild>
                            <w:div w:id="855269638">
                              <w:marLeft w:val="0"/>
                              <w:marRight w:val="0"/>
                              <w:marTop w:val="0"/>
                              <w:marBottom w:val="0"/>
                              <w:divBdr>
                                <w:top w:val="none" w:sz="0" w:space="0" w:color="auto"/>
                                <w:left w:val="none" w:sz="0" w:space="0" w:color="auto"/>
                                <w:bottom w:val="none" w:sz="0" w:space="0" w:color="auto"/>
                                <w:right w:val="none" w:sz="0" w:space="0" w:color="auto"/>
                              </w:divBdr>
                              <w:divsChild>
                                <w:div w:id="848954056">
                                  <w:marLeft w:val="0"/>
                                  <w:marRight w:val="0"/>
                                  <w:marTop w:val="0"/>
                                  <w:marBottom w:val="0"/>
                                  <w:divBdr>
                                    <w:top w:val="none" w:sz="0" w:space="0" w:color="auto"/>
                                    <w:left w:val="none" w:sz="0" w:space="0" w:color="auto"/>
                                    <w:bottom w:val="none" w:sz="0" w:space="0" w:color="auto"/>
                                    <w:right w:val="none" w:sz="0" w:space="0" w:color="auto"/>
                                  </w:divBdr>
                                  <w:divsChild>
                                    <w:div w:id="2111586260">
                                      <w:marLeft w:val="0"/>
                                      <w:marRight w:val="0"/>
                                      <w:marTop w:val="0"/>
                                      <w:marBottom w:val="0"/>
                                      <w:divBdr>
                                        <w:top w:val="none" w:sz="0" w:space="0" w:color="auto"/>
                                        <w:left w:val="none" w:sz="0" w:space="0" w:color="auto"/>
                                        <w:bottom w:val="none" w:sz="0" w:space="0" w:color="auto"/>
                                        <w:right w:val="none" w:sz="0" w:space="0" w:color="auto"/>
                                      </w:divBdr>
                                      <w:divsChild>
                                        <w:div w:id="1809935527">
                                          <w:marLeft w:val="0"/>
                                          <w:marRight w:val="0"/>
                                          <w:marTop w:val="0"/>
                                          <w:marBottom w:val="0"/>
                                          <w:divBdr>
                                            <w:top w:val="none" w:sz="0" w:space="0" w:color="auto"/>
                                            <w:left w:val="none" w:sz="0" w:space="0" w:color="auto"/>
                                            <w:bottom w:val="none" w:sz="0" w:space="0" w:color="auto"/>
                                            <w:right w:val="none" w:sz="0" w:space="0" w:color="auto"/>
                                          </w:divBdr>
                                          <w:divsChild>
                                            <w:div w:id="169627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0760466">
      <w:bodyDiv w:val="1"/>
      <w:marLeft w:val="0"/>
      <w:marRight w:val="0"/>
      <w:marTop w:val="0"/>
      <w:marBottom w:val="0"/>
      <w:divBdr>
        <w:top w:val="none" w:sz="0" w:space="0" w:color="auto"/>
        <w:left w:val="none" w:sz="0" w:space="0" w:color="auto"/>
        <w:bottom w:val="none" w:sz="0" w:space="0" w:color="auto"/>
        <w:right w:val="none" w:sz="0" w:space="0" w:color="auto"/>
      </w:divBdr>
    </w:div>
    <w:div w:id="443307142">
      <w:bodyDiv w:val="1"/>
      <w:marLeft w:val="0"/>
      <w:marRight w:val="0"/>
      <w:marTop w:val="0"/>
      <w:marBottom w:val="0"/>
      <w:divBdr>
        <w:top w:val="none" w:sz="0" w:space="0" w:color="auto"/>
        <w:left w:val="none" w:sz="0" w:space="0" w:color="auto"/>
        <w:bottom w:val="none" w:sz="0" w:space="0" w:color="auto"/>
        <w:right w:val="none" w:sz="0" w:space="0" w:color="auto"/>
      </w:divBdr>
    </w:div>
    <w:div w:id="538204983">
      <w:bodyDiv w:val="1"/>
      <w:marLeft w:val="0"/>
      <w:marRight w:val="0"/>
      <w:marTop w:val="0"/>
      <w:marBottom w:val="0"/>
      <w:divBdr>
        <w:top w:val="none" w:sz="0" w:space="0" w:color="auto"/>
        <w:left w:val="none" w:sz="0" w:space="0" w:color="auto"/>
        <w:bottom w:val="none" w:sz="0" w:space="0" w:color="auto"/>
        <w:right w:val="none" w:sz="0" w:space="0" w:color="auto"/>
      </w:divBdr>
    </w:div>
    <w:div w:id="643509845">
      <w:bodyDiv w:val="1"/>
      <w:marLeft w:val="0"/>
      <w:marRight w:val="0"/>
      <w:marTop w:val="0"/>
      <w:marBottom w:val="0"/>
      <w:divBdr>
        <w:top w:val="none" w:sz="0" w:space="0" w:color="auto"/>
        <w:left w:val="none" w:sz="0" w:space="0" w:color="auto"/>
        <w:bottom w:val="none" w:sz="0" w:space="0" w:color="auto"/>
        <w:right w:val="none" w:sz="0" w:space="0" w:color="auto"/>
      </w:divBdr>
    </w:div>
    <w:div w:id="764689015">
      <w:bodyDiv w:val="1"/>
      <w:marLeft w:val="0"/>
      <w:marRight w:val="0"/>
      <w:marTop w:val="0"/>
      <w:marBottom w:val="0"/>
      <w:divBdr>
        <w:top w:val="none" w:sz="0" w:space="0" w:color="auto"/>
        <w:left w:val="none" w:sz="0" w:space="0" w:color="auto"/>
        <w:bottom w:val="none" w:sz="0" w:space="0" w:color="auto"/>
        <w:right w:val="none" w:sz="0" w:space="0" w:color="auto"/>
      </w:divBdr>
    </w:div>
    <w:div w:id="820657160">
      <w:bodyDiv w:val="1"/>
      <w:marLeft w:val="0"/>
      <w:marRight w:val="0"/>
      <w:marTop w:val="0"/>
      <w:marBottom w:val="0"/>
      <w:divBdr>
        <w:top w:val="none" w:sz="0" w:space="0" w:color="auto"/>
        <w:left w:val="none" w:sz="0" w:space="0" w:color="auto"/>
        <w:bottom w:val="none" w:sz="0" w:space="0" w:color="auto"/>
        <w:right w:val="none" w:sz="0" w:space="0" w:color="auto"/>
      </w:divBdr>
      <w:divsChild>
        <w:div w:id="1577086585">
          <w:marLeft w:val="0"/>
          <w:marRight w:val="0"/>
          <w:marTop w:val="0"/>
          <w:marBottom w:val="0"/>
          <w:divBdr>
            <w:top w:val="none" w:sz="0" w:space="0" w:color="auto"/>
            <w:left w:val="none" w:sz="0" w:space="0" w:color="auto"/>
            <w:bottom w:val="none" w:sz="0" w:space="0" w:color="auto"/>
            <w:right w:val="none" w:sz="0" w:space="0" w:color="auto"/>
          </w:divBdr>
          <w:divsChild>
            <w:div w:id="1001545894">
              <w:marLeft w:val="0"/>
              <w:marRight w:val="0"/>
              <w:marTop w:val="0"/>
              <w:marBottom w:val="0"/>
              <w:divBdr>
                <w:top w:val="none" w:sz="0" w:space="0" w:color="auto"/>
                <w:left w:val="none" w:sz="0" w:space="0" w:color="auto"/>
                <w:bottom w:val="none" w:sz="0" w:space="0" w:color="auto"/>
                <w:right w:val="none" w:sz="0" w:space="0" w:color="auto"/>
              </w:divBdr>
              <w:divsChild>
                <w:div w:id="654339054">
                  <w:marLeft w:val="0"/>
                  <w:marRight w:val="0"/>
                  <w:marTop w:val="0"/>
                  <w:marBottom w:val="0"/>
                  <w:divBdr>
                    <w:top w:val="none" w:sz="0" w:space="0" w:color="auto"/>
                    <w:left w:val="none" w:sz="0" w:space="0" w:color="auto"/>
                    <w:bottom w:val="none" w:sz="0" w:space="0" w:color="auto"/>
                    <w:right w:val="none" w:sz="0" w:space="0" w:color="auto"/>
                  </w:divBdr>
                  <w:divsChild>
                    <w:div w:id="1759864745">
                      <w:marLeft w:val="0"/>
                      <w:marRight w:val="0"/>
                      <w:marTop w:val="0"/>
                      <w:marBottom w:val="0"/>
                      <w:divBdr>
                        <w:top w:val="none" w:sz="0" w:space="0" w:color="auto"/>
                        <w:left w:val="none" w:sz="0" w:space="0" w:color="auto"/>
                        <w:bottom w:val="none" w:sz="0" w:space="0" w:color="auto"/>
                        <w:right w:val="none" w:sz="0" w:space="0" w:color="auto"/>
                      </w:divBdr>
                      <w:divsChild>
                        <w:div w:id="1840920022">
                          <w:marLeft w:val="0"/>
                          <w:marRight w:val="0"/>
                          <w:marTop w:val="0"/>
                          <w:marBottom w:val="0"/>
                          <w:divBdr>
                            <w:top w:val="none" w:sz="0" w:space="0" w:color="auto"/>
                            <w:left w:val="none" w:sz="0" w:space="0" w:color="auto"/>
                            <w:bottom w:val="none" w:sz="0" w:space="0" w:color="auto"/>
                            <w:right w:val="none" w:sz="0" w:space="0" w:color="auto"/>
                          </w:divBdr>
                          <w:divsChild>
                            <w:div w:id="173502078">
                              <w:marLeft w:val="0"/>
                              <w:marRight w:val="0"/>
                              <w:marTop w:val="0"/>
                              <w:marBottom w:val="0"/>
                              <w:divBdr>
                                <w:top w:val="none" w:sz="0" w:space="0" w:color="auto"/>
                                <w:left w:val="none" w:sz="0" w:space="0" w:color="auto"/>
                                <w:bottom w:val="none" w:sz="0" w:space="0" w:color="auto"/>
                                <w:right w:val="none" w:sz="0" w:space="0" w:color="auto"/>
                              </w:divBdr>
                              <w:divsChild>
                                <w:div w:id="1007706579">
                                  <w:marLeft w:val="0"/>
                                  <w:marRight w:val="0"/>
                                  <w:marTop w:val="0"/>
                                  <w:marBottom w:val="0"/>
                                  <w:divBdr>
                                    <w:top w:val="none" w:sz="0" w:space="0" w:color="auto"/>
                                    <w:left w:val="none" w:sz="0" w:space="0" w:color="auto"/>
                                    <w:bottom w:val="none" w:sz="0" w:space="0" w:color="auto"/>
                                    <w:right w:val="none" w:sz="0" w:space="0" w:color="auto"/>
                                  </w:divBdr>
                                </w:div>
                              </w:divsChild>
                            </w:div>
                            <w:div w:id="621108535">
                              <w:marLeft w:val="0"/>
                              <w:marRight w:val="0"/>
                              <w:marTop w:val="0"/>
                              <w:marBottom w:val="0"/>
                              <w:divBdr>
                                <w:top w:val="none" w:sz="0" w:space="0" w:color="auto"/>
                                <w:left w:val="none" w:sz="0" w:space="0" w:color="auto"/>
                                <w:bottom w:val="none" w:sz="0" w:space="0" w:color="auto"/>
                                <w:right w:val="none" w:sz="0" w:space="0" w:color="auto"/>
                              </w:divBdr>
                              <w:divsChild>
                                <w:div w:id="127193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6016787">
      <w:bodyDiv w:val="1"/>
      <w:marLeft w:val="0"/>
      <w:marRight w:val="0"/>
      <w:marTop w:val="0"/>
      <w:marBottom w:val="0"/>
      <w:divBdr>
        <w:top w:val="none" w:sz="0" w:space="0" w:color="auto"/>
        <w:left w:val="none" w:sz="0" w:space="0" w:color="auto"/>
        <w:bottom w:val="none" w:sz="0" w:space="0" w:color="auto"/>
        <w:right w:val="none" w:sz="0" w:space="0" w:color="auto"/>
      </w:divBdr>
    </w:div>
    <w:div w:id="881090582">
      <w:bodyDiv w:val="1"/>
      <w:marLeft w:val="0"/>
      <w:marRight w:val="0"/>
      <w:marTop w:val="0"/>
      <w:marBottom w:val="0"/>
      <w:divBdr>
        <w:top w:val="none" w:sz="0" w:space="0" w:color="auto"/>
        <w:left w:val="none" w:sz="0" w:space="0" w:color="auto"/>
        <w:bottom w:val="none" w:sz="0" w:space="0" w:color="auto"/>
        <w:right w:val="none" w:sz="0" w:space="0" w:color="auto"/>
      </w:divBdr>
    </w:div>
    <w:div w:id="974867185">
      <w:bodyDiv w:val="1"/>
      <w:marLeft w:val="0"/>
      <w:marRight w:val="0"/>
      <w:marTop w:val="0"/>
      <w:marBottom w:val="0"/>
      <w:divBdr>
        <w:top w:val="none" w:sz="0" w:space="0" w:color="auto"/>
        <w:left w:val="none" w:sz="0" w:space="0" w:color="auto"/>
        <w:bottom w:val="none" w:sz="0" w:space="0" w:color="auto"/>
        <w:right w:val="none" w:sz="0" w:space="0" w:color="auto"/>
      </w:divBdr>
      <w:divsChild>
        <w:div w:id="846020170">
          <w:marLeft w:val="0"/>
          <w:marRight w:val="0"/>
          <w:marTop w:val="0"/>
          <w:marBottom w:val="0"/>
          <w:divBdr>
            <w:top w:val="none" w:sz="0" w:space="0" w:color="auto"/>
            <w:left w:val="none" w:sz="0" w:space="0" w:color="auto"/>
            <w:bottom w:val="none" w:sz="0" w:space="0" w:color="auto"/>
            <w:right w:val="none" w:sz="0" w:space="0" w:color="auto"/>
          </w:divBdr>
          <w:divsChild>
            <w:div w:id="16319670">
              <w:marLeft w:val="0"/>
              <w:marRight w:val="0"/>
              <w:marTop w:val="0"/>
              <w:marBottom w:val="480"/>
              <w:divBdr>
                <w:top w:val="none" w:sz="0" w:space="0" w:color="auto"/>
                <w:left w:val="none" w:sz="0" w:space="0" w:color="auto"/>
                <w:bottom w:val="none" w:sz="0" w:space="0" w:color="auto"/>
                <w:right w:val="none" w:sz="0" w:space="0" w:color="auto"/>
              </w:divBdr>
              <w:divsChild>
                <w:div w:id="25058247">
                  <w:marLeft w:val="0"/>
                  <w:marRight w:val="0"/>
                  <w:marTop w:val="0"/>
                  <w:marBottom w:val="0"/>
                  <w:divBdr>
                    <w:top w:val="none" w:sz="0" w:space="0" w:color="auto"/>
                    <w:left w:val="none" w:sz="0" w:space="0" w:color="auto"/>
                    <w:bottom w:val="none" w:sz="0" w:space="0" w:color="auto"/>
                    <w:right w:val="none" w:sz="0" w:space="0" w:color="auto"/>
                  </w:divBdr>
                  <w:divsChild>
                    <w:div w:id="610013802">
                      <w:marLeft w:val="0"/>
                      <w:marRight w:val="0"/>
                      <w:marTop w:val="0"/>
                      <w:marBottom w:val="0"/>
                      <w:divBdr>
                        <w:top w:val="none" w:sz="0" w:space="0" w:color="auto"/>
                        <w:left w:val="none" w:sz="0" w:space="0" w:color="auto"/>
                        <w:bottom w:val="none" w:sz="0" w:space="0" w:color="auto"/>
                        <w:right w:val="none" w:sz="0" w:space="0" w:color="auto"/>
                      </w:divBdr>
                      <w:divsChild>
                        <w:div w:id="202014113">
                          <w:marLeft w:val="0"/>
                          <w:marRight w:val="0"/>
                          <w:marTop w:val="450"/>
                          <w:marBottom w:val="0"/>
                          <w:divBdr>
                            <w:top w:val="none" w:sz="0" w:space="0" w:color="B2B2B2"/>
                            <w:left w:val="none" w:sz="0" w:space="0" w:color="B2B2B2"/>
                            <w:bottom w:val="none" w:sz="0" w:space="0" w:color="B2B2B2"/>
                            <w:right w:val="none" w:sz="0" w:space="0" w:color="B2B2B2"/>
                          </w:divBdr>
                          <w:divsChild>
                            <w:div w:id="565602922">
                              <w:marLeft w:val="0"/>
                              <w:marRight w:val="0"/>
                              <w:marTop w:val="240"/>
                              <w:marBottom w:val="0"/>
                              <w:divBdr>
                                <w:top w:val="single" w:sz="2" w:space="0" w:color="B2B2B2"/>
                                <w:left w:val="single" w:sz="2" w:space="0" w:color="B2B2B2"/>
                                <w:bottom w:val="single" w:sz="2" w:space="0" w:color="B2B2B2"/>
                                <w:right w:val="single" w:sz="2" w:space="0" w:color="B2B2B2"/>
                              </w:divBdr>
                            </w:div>
                          </w:divsChild>
                        </w:div>
                      </w:divsChild>
                    </w:div>
                  </w:divsChild>
                </w:div>
              </w:divsChild>
            </w:div>
          </w:divsChild>
        </w:div>
      </w:divsChild>
    </w:div>
    <w:div w:id="1095516541">
      <w:bodyDiv w:val="1"/>
      <w:marLeft w:val="0"/>
      <w:marRight w:val="0"/>
      <w:marTop w:val="0"/>
      <w:marBottom w:val="0"/>
      <w:divBdr>
        <w:top w:val="none" w:sz="0" w:space="0" w:color="auto"/>
        <w:left w:val="none" w:sz="0" w:space="0" w:color="auto"/>
        <w:bottom w:val="none" w:sz="0" w:space="0" w:color="auto"/>
        <w:right w:val="none" w:sz="0" w:space="0" w:color="auto"/>
      </w:divBdr>
    </w:div>
    <w:div w:id="1284926598">
      <w:bodyDiv w:val="1"/>
      <w:marLeft w:val="0"/>
      <w:marRight w:val="0"/>
      <w:marTop w:val="0"/>
      <w:marBottom w:val="0"/>
      <w:divBdr>
        <w:top w:val="none" w:sz="0" w:space="0" w:color="auto"/>
        <w:left w:val="none" w:sz="0" w:space="0" w:color="auto"/>
        <w:bottom w:val="none" w:sz="0" w:space="0" w:color="auto"/>
        <w:right w:val="none" w:sz="0" w:space="0" w:color="auto"/>
      </w:divBdr>
    </w:div>
    <w:div w:id="1393574948">
      <w:bodyDiv w:val="1"/>
      <w:marLeft w:val="0"/>
      <w:marRight w:val="0"/>
      <w:marTop w:val="0"/>
      <w:marBottom w:val="0"/>
      <w:divBdr>
        <w:top w:val="none" w:sz="0" w:space="0" w:color="auto"/>
        <w:left w:val="none" w:sz="0" w:space="0" w:color="auto"/>
        <w:bottom w:val="none" w:sz="0" w:space="0" w:color="auto"/>
        <w:right w:val="none" w:sz="0" w:space="0" w:color="auto"/>
      </w:divBdr>
      <w:divsChild>
        <w:div w:id="1876504044">
          <w:marLeft w:val="0"/>
          <w:marRight w:val="0"/>
          <w:marTop w:val="0"/>
          <w:marBottom w:val="0"/>
          <w:divBdr>
            <w:top w:val="none" w:sz="0" w:space="0" w:color="auto"/>
            <w:left w:val="none" w:sz="0" w:space="0" w:color="auto"/>
            <w:bottom w:val="none" w:sz="0" w:space="0" w:color="auto"/>
            <w:right w:val="none" w:sz="0" w:space="0" w:color="auto"/>
          </w:divBdr>
          <w:divsChild>
            <w:div w:id="1426346203">
              <w:marLeft w:val="0"/>
              <w:marRight w:val="0"/>
              <w:marTop w:val="0"/>
              <w:marBottom w:val="0"/>
              <w:divBdr>
                <w:top w:val="none" w:sz="0" w:space="0" w:color="auto"/>
                <w:left w:val="none" w:sz="0" w:space="0" w:color="auto"/>
                <w:bottom w:val="none" w:sz="0" w:space="0" w:color="auto"/>
                <w:right w:val="none" w:sz="0" w:space="0" w:color="auto"/>
              </w:divBdr>
              <w:divsChild>
                <w:div w:id="1733036865">
                  <w:marLeft w:val="0"/>
                  <w:marRight w:val="0"/>
                  <w:marTop w:val="0"/>
                  <w:marBottom w:val="0"/>
                  <w:divBdr>
                    <w:top w:val="none" w:sz="0" w:space="0" w:color="auto"/>
                    <w:left w:val="none" w:sz="0" w:space="0" w:color="auto"/>
                    <w:bottom w:val="none" w:sz="0" w:space="0" w:color="auto"/>
                    <w:right w:val="none" w:sz="0" w:space="0" w:color="auto"/>
                  </w:divBdr>
                  <w:divsChild>
                    <w:div w:id="1221668026">
                      <w:marLeft w:val="0"/>
                      <w:marRight w:val="0"/>
                      <w:marTop w:val="0"/>
                      <w:marBottom w:val="0"/>
                      <w:divBdr>
                        <w:top w:val="none" w:sz="0" w:space="0" w:color="auto"/>
                        <w:left w:val="none" w:sz="0" w:space="0" w:color="auto"/>
                        <w:bottom w:val="none" w:sz="0" w:space="0" w:color="auto"/>
                        <w:right w:val="none" w:sz="0" w:space="0" w:color="auto"/>
                      </w:divBdr>
                      <w:divsChild>
                        <w:div w:id="1294210992">
                          <w:marLeft w:val="0"/>
                          <w:marRight w:val="0"/>
                          <w:marTop w:val="0"/>
                          <w:marBottom w:val="0"/>
                          <w:divBdr>
                            <w:top w:val="none" w:sz="0" w:space="0" w:color="auto"/>
                            <w:left w:val="none" w:sz="0" w:space="0" w:color="auto"/>
                            <w:bottom w:val="none" w:sz="0" w:space="0" w:color="auto"/>
                            <w:right w:val="none" w:sz="0" w:space="0" w:color="auto"/>
                          </w:divBdr>
                          <w:divsChild>
                            <w:div w:id="526604463">
                              <w:marLeft w:val="0"/>
                              <w:marRight w:val="300"/>
                              <w:marTop w:val="0"/>
                              <w:marBottom w:val="0"/>
                              <w:divBdr>
                                <w:top w:val="none" w:sz="0" w:space="0" w:color="auto"/>
                                <w:left w:val="none" w:sz="0" w:space="0" w:color="auto"/>
                                <w:bottom w:val="none" w:sz="0" w:space="0" w:color="auto"/>
                                <w:right w:val="none" w:sz="0" w:space="0" w:color="auto"/>
                              </w:divBdr>
                              <w:divsChild>
                                <w:div w:id="1669094791">
                                  <w:marLeft w:val="0"/>
                                  <w:marRight w:val="0"/>
                                  <w:marTop w:val="0"/>
                                  <w:marBottom w:val="0"/>
                                  <w:divBdr>
                                    <w:top w:val="none" w:sz="0" w:space="0" w:color="auto"/>
                                    <w:left w:val="none" w:sz="0" w:space="0" w:color="auto"/>
                                    <w:bottom w:val="none" w:sz="0" w:space="0" w:color="auto"/>
                                    <w:right w:val="none" w:sz="0" w:space="0" w:color="auto"/>
                                  </w:divBdr>
                                  <w:divsChild>
                                    <w:div w:id="1305892576">
                                      <w:marLeft w:val="0"/>
                                      <w:marRight w:val="0"/>
                                      <w:marTop w:val="0"/>
                                      <w:marBottom w:val="0"/>
                                      <w:divBdr>
                                        <w:top w:val="none" w:sz="0" w:space="0" w:color="auto"/>
                                        <w:left w:val="none" w:sz="0" w:space="0" w:color="auto"/>
                                        <w:bottom w:val="none" w:sz="0" w:space="0" w:color="auto"/>
                                        <w:right w:val="none" w:sz="0" w:space="0" w:color="auto"/>
                                      </w:divBdr>
                                      <w:divsChild>
                                        <w:div w:id="1176000256">
                                          <w:marLeft w:val="0"/>
                                          <w:marRight w:val="-100"/>
                                          <w:marTop w:val="0"/>
                                          <w:marBottom w:val="0"/>
                                          <w:divBdr>
                                            <w:top w:val="none" w:sz="0" w:space="0" w:color="auto"/>
                                            <w:left w:val="none" w:sz="0" w:space="0" w:color="auto"/>
                                            <w:bottom w:val="none" w:sz="0" w:space="0" w:color="auto"/>
                                            <w:right w:val="none" w:sz="0" w:space="0" w:color="auto"/>
                                          </w:divBdr>
                                          <w:divsChild>
                                            <w:div w:id="860240268">
                                              <w:marLeft w:val="0"/>
                                              <w:marRight w:val="0"/>
                                              <w:marTop w:val="0"/>
                                              <w:marBottom w:val="0"/>
                                              <w:divBdr>
                                                <w:top w:val="none" w:sz="0" w:space="0" w:color="auto"/>
                                                <w:left w:val="none" w:sz="0" w:space="0" w:color="auto"/>
                                                <w:bottom w:val="none" w:sz="0" w:space="0" w:color="auto"/>
                                                <w:right w:val="none" w:sz="0" w:space="0" w:color="auto"/>
                                              </w:divBdr>
                                              <w:divsChild>
                                                <w:div w:id="18945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3929946">
      <w:bodyDiv w:val="1"/>
      <w:marLeft w:val="0"/>
      <w:marRight w:val="0"/>
      <w:marTop w:val="0"/>
      <w:marBottom w:val="0"/>
      <w:divBdr>
        <w:top w:val="none" w:sz="0" w:space="0" w:color="auto"/>
        <w:left w:val="none" w:sz="0" w:space="0" w:color="auto"/>
        <w:bottom w:val="none" w:sz="0" w:space="0" w:color="auto"/>
        <w:right w:val="none" w:sz="0" w:space="0" w:color="auto"/>
      </w:divBdr>
    </w:div>
    <w:div w:id="1575242516">
      <w:bodyDiv w:val="1"/>
      <w:marLeft w:val="0"/>
      <w:marRight w:val="0"/>
      <w:marTop w:val="0"/>
      <w:marBottom w:val="0"/>
      <w:divBdr>
        <w:top w:val="none" w:sz="0" w:space="0" w:color="auto"/>
        <w:left w:val="none" w:sz="0" w:space="0" w:color="auto"/>
        <w:bottom w:val="none" w:sz="0" w:space="0" w:color="auto"/>
        <w:right w:val="none" w:sz="0" w:space="0" w:color="auto"/>
      </w:divBdr>
    </w:div>
    <w:div w:id="1597978089">
      <w:bodyDiv w:val="1"/>
      <w:marLeft w:val="0"/>
      <w:marRight w:val="0"/>
      <w:marTop w:val="0"/>
      <w:marBottom w:val="0"/>
      <w:divBdr>
        <w:top w:val="none" w:sz="0" w:space="0" w:color="auto"/>
        <w:left w:val="none" w:sz="0" w:space="0" w:color="auto"/>
        <w:bottom w:val="none" w:sz="0" w:space="0" w:color="auto"/>
        <w:right w:val="none" w:sz="0" w:space="0" w:color="auto"/>
      </w:divBdr>
    </w:div>
    <w:div w:id="1611278485">
      <w:bodyDiv w:val="1"/>
      <w:marLeft w:val="0"/>
      <w:marRight w:val="0"/>
      <w:marTop w:val="0"/>
      <w:marBottom w:val="0"/>
      <w:divBdr>
        <w:top w:val="none" w:sz="0" w:space="0" w:color="auto"/>
        <w:left w:val="none" w:sz="0" w:space="0" w:color="auto"/>
        <w:bottom w:val="none" w:sz="0" w:space="0" w:color="auto"/>
        <w:right w:val="none" w:sz="0" w:space="0" w:color="auto"/>
      </w:divBdr>
      <w:divsChild>
        <w:div w:id="241183112">
          <w:marLeft w:val="0"/>
          <w:marRight w:val="0"/>
          <w:marTop w:val="0"/>
          <w:marBottom w:val="0"/>
          <w:divBdr>
            <w:top w:val="none" w:sz="0" w:space="0" w:color="auto"/>
            <w:left w:val="none" w:sz="0" w:space="0" w:color="auto"/>
            <w:bottom w:val="none" w:sz="0" w:space="0" w:color="auto"/>
            <w:right w:val="none" w:sz="0" w:space="0" w:color="auto"/>
          </w:divBdr>
          <w:divsChild>
            <w:div w:id="1956019266">
              <w:marLeft w:val="0"/>
              <w:marRight w:val="0"/>
              <w:marTop w:val="0"/>
              <w:marBottom w:val="480"/>
              <w:divBdr>
                <w:top w:val="none" w:sz="0" w:space="0" w:color="auto"/>
                <w:left w:val="none" w:sz="0" w:space="0" w:color="auto"/>
                <w:bottom w:val="none" w:sz="0" w:space="0" w:color="auto"/>
                <w:right w:val="none" w:sz="0" w:space="0" w:color="auto"/>
              </w:divBdr>
              <w:divsChild>
                <w:div w:id="205261497">
                  <w:marLeft w:val="0"/>
                  <w:marRight w:val="0"/>
                  <w:marTop w:val="0"/>
                  <w:marBottom w:val="0"/>
                  <w:divBdr>
                    <w:top w:val="none" w:sz="0" w:space="0" w:color="auto"/>
                    <w:left w:val="none" w:sz="0" w:space="0" w:color="auto"/>
                    <w:bottom w:val="none" w:sz="0" w:space="0" w:color="auto"/>
                    <w:right w:val="none" w:sz="0" w:space="0" w:color="auto"/>
                  </w:divBdr>
                  <w:divsChild>
                    <w:div w:id="1967659797">
                      <w:marLeft w:val="0"/>
                      <w:marRight w:val="0"/>
                      <w:marTop w:val="0"/>
                      <w:marBottom w:val="0"/>
                      <w:divBdr>
                        <w:top w:val="none" w:sz="0" w:space="0" w:color="auto"/>
                        <w:left w:val="none" w:sz="0" w:space="0" w:color="auto"/>
                        <w:bottom w:val="none" w:sz="0" w:space="0" w:color="auto"/>
                        <w:right w:val="none" w:sz="0" w:space="0" w:color="auto"/>
                      </w:divBdr>
                      <w:divsChild>
                        <w:div w:id="129328085">
                          <w:marLeft w:val="0"/>
                          <w:marRight w:val="0"/>
                          <w:marTop w:val="450"/>
                          <w:marBottom w:val="0"/>
                          <w:divBdr>
                            <w:top w:val="none" w:sz="0" w:space="0" w:color="B2B2B2"/>
                            <w:left w:val="none" w:sz="0" w:space="0" w:color="B2B2B2"/>
                            <w:bottom w:val="none" w:sz="0" w:space="0" w:color="B2B2B2"/>
                            <w:right w:val="none" w:sz="0" w:space="0" w:color="B2B2B2"/>
                          </w:divBdr>
                          <w:divsChild>
                            <w:div w:id="2114471864">
                              <w:marLeft w:val="0"/>
                              <w:marRight w:val="0"/>
                              <w:marTop w:val="240"/>
                              <w:marBottom w:val="0"/>
                              <w:divBdr>
                                <w:top w:val="single" w:sz="2" w:space="0" w:color="B2B2B2"/>
                                <w:left w:val="single" w:sz="2" w:space="0" w:color="B2B2B2"/>
                                <w:bottom w:val="single" w:sz="2" w:space="0" w:color="B2B2B2"/>
                                <w:right w:val="single" w:sz="2" w:space="0" w:color="B2B2B2"/>
                              </w:divBdr>
                            </w:div>
                          </w:divsChild>
                        </w:div>
                      </w:divsChild>
                    </w:div>
                  </w:divsChild>
                </w:div>
              </w:divsChild>
            </w:div>
          </w:divsChild>
        </w:div>
      </w:divsChild>
    </w:div>
    <w:div w:id="1689529116">
      <w:bodyDiv w:val="1"/>
      <w:marLeft w:val="0"/>
      <w:marRight w:val="0"/>
      <w:marTop w:val="0"/>
      <w:marBottom w:val="0"/>
      <w:divBdr>
        <w:top w:val="none" w:sz="0" w:space="0" w:color="auto"/>
        <w:left w:val="none" w:sz="0" w:space="0" w:color="auto"/>
        <w:bottom w:val="none" w:sz="0" w:space="0" w:color="auto"/>
        <w:right w:val="none" w:sz="0" w:space="0" w:color="auto"/>
      </w:divBdr>
    </w:div>
    <w:div w:id="1763525282">
      <w:bodyDiv w:val="1"/>
      <w:marLeft w:val="0"/>
      <w:marRight w:val="0"/>
      <w:marTop w:val="0"/>
      <w:marBottom w:val="0"/>
      <w:divBdr>
        <w:top w:val="none" w:sz="0" w:space="0" w:color="auto"/>
        <w:left w:val="none" w:sz="0" w:space="0" w:color="auto"/>
        <w:bottom w:val="none" w:sz="0" w:space="0" w:color="auto"/>
        <w:right w:val="none" w:sz="0" w:space="0" w:color="auto"/>
      </w:divBdr>
    </w:div>
    <w:div w:id="1765106491">
      <w:bodyDiv w:val="1"/>
      <w:marLeft w:val="0"/>
      <w:marRight w:val="0"/>
      <w:marTop w:val="0"/>
      <w:marBottom w:val="0"/>
      <w:divBdr>
        <w:top w:val="none" w:sz="0" w:space="0" w:color="auto"/>
        <w:left w:val="none" w:sz="0" w:space="0" w:color="auto"/>
        <w:bottom w:val="none" w:sz="0" w:space="0" w:color="auto"/>
        <w:right w:val="none" w:sz="0" w:space="0" w:color="auto"/>
      </w:divBdr>
    </w:div>
    <w:div w:id="1854493810">
      <w:bodyDiv w:val="1"/>
      <w:marLeft w:val="0"/>
      <w:marRight w:val="0"/>
      <w:marTop w:val="0"/>
      <w:marBottom w:val="0"/>
      <w:divBdr>
        <w:top w:val="none" w:sz="0" w:space="0" w:color="auto"/>
        <w:left w:val="none" w:sz="0" w:space="0" w:color="auto"/>
        <w:bottom w:val="none" w:sz="0" w:space="0" w:color="auto"/>
        <w:right w:val="none" w:sz="0" w:space="0" w:color="auto"/>
      </w:divBdr>
    </w:div>
    <w:div w:id="1878810469">
      <w:bodyDiv w:val="1"/>
      <w:marLeft w:val="0"/>
      <w:marRight w:val="0"/>
      <w:marTop w:val="0"/>
      <w:marBottom w:val="0"/>
      <w:divBdr>
        <w:top w:val="none" w:sz="0" w:space="0" w:color="auto"/>
        <w:left w:val="none" w:sz="0" w:space="0" w:color="auto"/>
        <w:bottom w:val="none" w:sz="0" w:space="0" w:color="auto"/>
        <w:right w:val="none" w:sz="0" w:space="0" w:color="auto"/>
      </w:divBdr>
    </w:div>
    <w:div w:id="1888950402">
      <w:bodyDiv w:val="1"/>
      <w:marLeft w:val="0"/>
      <w:marRight w:val="0"/>
      <w:marTop w:val="0"/>
      <w:marBottom w:val="0"/>
      <w:divBdr>
        <w:top w:val="none" w:sz="0" w:space="0" w:color="auto"/>
        <w:left w:val="none" w:sz="0" w:space="0" w:color="auto"/>
        <w:bottom w:val="none" w:sz="0" w:space="0" w:color="auto"/>
        <w:right w:val="none" w:sz="0" w:space="0" w:color="auto"/>
      </w:divBdr>
    </w:div>
    <w:div w:id="2021202477">
      <w:bodyDiv w:val="1"/>
      <w:marLeft w:val="0"/>
      <w:marRight w:val="0"/>
      <w:marTop w:val="0"/>
      <w:marBottom w:val="0"/>
      <w:divBdr>
        <w:top w:val="none" w:sz="0" w:space="0" w:color="auto"/>
        <w:left w:val="none" w:sz="0" w:space="0" w:color="auto"/>
        <w:bottom w:val="none" w:sz="0" w:space="0" w:color="auto"/>
        <w:right w:val="none" w:sz="0" w:space="0" w:color="auto"/>
      </w:divBdr>
    </w:div>
    <w:div w:id="204782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CE3433-8491-4DE1-AD57-50466069B45A}">
  <ds:schemaRefs>
    <ds:schemaRef ds:uri="http://schemas.openxmlformats.org/officeDocument/2006/bibliography"/>
  </ds:schemaRefs>
</ds:datastoreItem>
</file>

<file path=customXml/itemProps2.xml><?xml version="1.0" encoding="utf-8"?>
<ds:datastoreItem xmlns:ds="http://schemas.openxmlformats.org/officeDocument/2006/customXml" ds:itemID="{DB0219BD-6558-4EC5-A66B-B77A85F37885}">
  <ds:schemaRefs>
    <ds:schemaRef ds:uri="http://schemas.openxmlformats.org/officeDocument/2006/bibliography"/>
  </ds:schemaRefs>
</ds:datastoreItem>
</file>

<file path=customXml/itemProps3.xml><?xml version="1.0" encoding="utf-8"?>
<ds:datastoreItem xmlns:ds="http://schemas.openxmlformats.org/officeDocument/2006/customXml" ds:itemID="{0C0F70F8-0D30-40C4-BA0D-B609345DE111}">
  <ds:schemaRefs>
    <ds:schemaRef ds:uri="http://schemas.openxmlformats.org/officeDocument/2006/bibliography"/>
  </ds:schemaRefs>
</ds:datastoreItem>
</file>

<file path=customXml/itemProps4.xml><?xml version="1.0" encoding="utf-8"?>
<ds:datastoreItem xmlns:ds="http://schemas.openxmlformats.org/officeDocument/2006/customXml" ds:itemID="{3BDE8309-02E7-45A0-8767-33183B6DEC92}">
  <ds:schemaRefs>
    <ds:schemaRef ds:uri="http://schemas.openxmlformats.org/officeDocument/2006/bibliography"/>
  </ds:schemaRefs>
</ds:datastoreItem>
</file>

<file path=customXml/itemProps5.xml><?xml version="1.0" encoding="utf-8"?>
<ds:datastoreItem xmlns:ds="http://schemas.openxmlformats.org/officeDocument/2006/customXml" ds:itemID="{CBF0DBFD-8AB5-4150-9F5D-630ECFF2CBDD}">
  <ds:schemaRefs>
    <ds:schemaRef ds:uri="http://schemas.openxmlformats.org/officeDocument/2006/bibliography"/>
  </ds:schemaRefs>
</ds:datastoreItem>
</file>

<file path=customXml/itemProps6.xml><?xml version="1.0" encoding="utf-8"?>
<ds:datastoreItem xmlns:ds="http://schemas.openxmlformats.org/officeDocument/2006/customXml" ds:itemID="{2D4F31A2-85DB-44E6-903A-C47B86D762FF}">
  <ds:schemaRefs>
    <ds:schemaRef ds:uri="http://schemas.openxmlformats.org/officeDocument/2006/bibliography"/>
  </ds:schemaRefs>
</ds:datastoreItem>
</file>

<file path=customXml/itemProps7.xml><?xml version="1.0" encoding="utf-8"?>
<ds:datastoreItem xmlns:ds="http://schemas.openxmlformats.org/officeDocument/2006/customXml" ds:itemID="{AA28FB28-7A48-46A1-86F8-6C9FBC4B0E5B}">
  <ds:schemaRefs>
    <ds:schemaRef ds:uri="http://schemas.openxmlformats.org/officeDocument/2006/bibliography"/>
  </ds:schemaRefs>
</ds:datastoreItem>
</file>

<file path=customXml/itemProps8.xml><?xml version="1.0" encoding="utf-8"?>
<ds:datastoreItem xmlns:ds="http://schemas.openxmlformats.org/officeDocument/2006/customXml" ds:itemID="{FE3BB7CD-ABE9-49C9-8790-B4537E4AE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2685</Words>
  <Characters>15308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PARTNER ROTATION REQUIREMENTS</vt:lpstr>
    </vt:vector>
  </TitlesOfParts>
  <Company>PricewaterhouseCoopers</Company>
  <LinksUpToDate>false</LinksUpToDate>
  <CharactersWithSpaces>17958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 ROTATION REQUIREMENTS</dc:title>
  <dc:creator>Elizabeth Higgs</dc:creator>
  <cp:lastModifiedBy>Elizabeth Higgs</cp:lastModifiedBy>
  <cp:revision>11</cp:revision>
  <cp:lastPrinted>2014-06-17T14:30:00Z</cp:lastPrinted>
  <dcterms:created xsi:type="dcterms:W3CDTF">2014-06-17T14:44:00Z</dcterms:created>
  <dcterms:modified xsi:type="dcterms:W3CDTF">2014-06-17T17:54:00Z</dcterms:modified>
</cp:coreProperties>
</file>