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28A4E" w14:textId="77777777" w:rsidR="00D9336F" w:rsidRPr="006F1B73" w:rsidRDefault="00D9336F" w:rsidP="006F1B73">
      <w:pPr>
        <w:spacing w:before="120" w:after="120" w:line="280" w:lineRule="exact"/>
        <w:rPr>
          <w:rFonts w:ascii="Arial" w:hAnsi="Arial" w:cs="Arial"/>
          <w:sz w:val="20"/>
          <w:szCs w:val="20"/>
        </w:rPr>
      </w:pPr>
    </w:p>
    <w:tbl>
      <w:tblPr>
        <w:tblW w:w="9450" w:type="dxa"/>
        <w:tblInd w:w="115" w:type="dxa"/>
        <w:tblLayout w:type="fixed"/>
        <w:tblCellMar>
          <w:left w:w="115" w:type="dxa"/>
          <w:right w:w="115" w:type="dxa"/>
        </w:tblCellMar>
        <w:tblLook w:val="04A0" w:firstRow="1" w:lastRow="0" w:firstColumn="1" w:lastColumn="0" w:noHBand="0" w:noVBand="1"/>
      </w:tblPr>
      <w:tblGrid>
        <w:gridCol w:w="2592"/>
        <w:gridCol w:w="3798"/>
        <w:gridCol w:w="3060"/>
      </w:tblGrid>
      <w:tr w:rsidR="00D9336F" w:rsidRPr="00D9336F" w14:paraId="4553BE48" w14:textId="77777777" w:rsidTr="00906FFB">
        <w:tc>
          <w:tcPr>
            <w:tcW w:w="2592" w:type="dxa"/>
          </w:tcPr>
          <w:p w14:paraId="45B0CFD7" w14:textId="77777777" w:rsidR="00D9336F" w:rsidRPr="00D9336F" w:rsidRDefault="00D9336F" w:rsidP="006F1B73">
            <w:pPr>
              <w:spacing w:before="120" w:after="120" w:line="280" w:lineRule="exact"/>
              <w:ind w:left="-115"/>
              <w:jc w:val="both"/>
              <w:rPr>
                <w:rFonts w:ascii="Arial" w:eastAsia="Times New Roman" w:hAnsi="Arial" w:cs="Arial"/>
                <w:kern w:val="8"/>
                <w:sz w:val="20"/>
                <w:szCs w:val="20"/>
                <w:lang w:bidi="he-IL"/>
              </w:rPr>
            </w:pPr>
            <w:r w:rsidRPr="00D9336F">
              <w:rPr>
                <w:rFonts w:ascii="Arial" w:eastAsia="Times New Roman" w:hAnsi="Arial" w:cs="Arial"/>
                <w:b/>
                <w:kern w:val="8"/>
                <w:sz w:val="20"/>
                <w:szCs w:val="20"/>
                <w:lang w:bidi="he-IL"/>
              </w:rPr>
              <w:t>Meeting</w:t>
            </w:r>
            <w:r w:rsidRPr="00D9336F">
              <w:rPr>
                <w:rFonts w:ascii="Arial" w:eastAsia="Times New Roman" w:hAnsi="Arial" w:cs="Arial"/>
                <w:b/>
                <w:bCs/>
                <w:kern w:val="8"/>
                <w:sz w:val="20"/>
                <w:szCs w:val="20"/>
                <w:lang w:bidi="he-IL"/>
              </w:rPr>
              <w:t>:</w:t>
            </w:r>
          </w:p>
        </w:tc>
        <w:tc>
          <w:tcPr>
            <w:tcW w:w="3798" w:type="dxa"/>
          </w:tcPr>
          <w:p w14:paraId="2B224E89" w14:textId="77777777" w:rsidR="00CA1DAF" w:rsidRPr="00D9336F" w:rsidRDefault="00246459" w:rsidP="00246459">
            <w:pPr>
              <w:spacing w:before="120" w:after="120" w:line="280" w:lineRule="exact"/>
              <w:jc w:val="both"/>
              <w:rPr>
                <w:rFonts w:ascii="Arial" w:eastAsia="Times New Roman" w:hAnsi="Arial" w:cs="Arial"/>
                <w:kern w:val="8"/>
                <w:sz w:val="20"/>
                <w:szCs w:val="20"/>
                <w:lang w:bidi="he-IL"/>
              </w:rPr>
            </w:pPr>
            <w:r>
              <w:rPr>
                <w:rFonts w:ascii="Arial" w:eastAsia="Times New Roman" w:hAnsi="Arial" w:cs="Arial"/>
                <w:kern w:val="8"/>
                <w:sz w:val="20"/>
                <w:szCs w:val="20"/>
                <w:lang w:bidi="he-IL"/>
              </w:rPr>
              <w:t>IESBA</w:t>
            </w:r>
            <w:r w:rsidR="00A51099">
              <w:rPr>
                <w:rFonts w:ascii="Arial" w:eastAsia="Times New Roman" w:hAnsi="Arial" w:cs="Arial"/>
                <w:kern w:val="8"/>
                <w:sz w:val="20"/>
                <w:szCs w:val="20"/>
                <w:lang w:bidi="he-IL"/>
              </w:rPr>
              <w:t xml:space="preserve"> CAG</w:t>
            </w:r>
          </w:p>
        </w:tc>
        <w:tc>
          <w:tcPr>
            <w:tcW w:w="3060" w:type="dxa"/>
            <w:vMerge w:val="restart"/>
          </w:tcPr>
          <w:p w14:paraId="5E2BB908" w14:textId="77777777" w:rsidR="00D9336F" w:rsidRPr="00D9336F" w:rsidRDefault="00D9336F" w:rsidP="00D9336F">
            <w:pPr>
              <w:keepNext/>
              <w:keepLines/>
              <w:spacing w:before="60" w:after="60" w:line="240" w:lineRule="auto"/>
              <w:jc w:val="center"/>
              <w:outlineLvl w:val="0"/>
              <w:rPr>
                <w:rFonts w:ascii="Arial" w:eastAsia="Times New Roman" w:hAnsi="Arial" w:cs="Arial"/>
                <w:b/>
                <w:bCs/>
                <w:kern w:val="8"/>
                <w:sz w:val="36"/>
                <w:szCs w:val="36"/>
                <w:lang w:bidi="he-IL"/>
              </w:rPr>
            </w:pPr>
            <w:r w:rsidRPr="00D9336F">
              <w:rPr>
                <w:rFonts w:ascii="Arial" w:eastAsia="Times New Roman" w:hAnsi="Arial" w:cs="Arial"/>
                <w:b/>
                <w:bCs/>
                <w:kern w:val="8"/>
                <w:sz w:val="36"/>
                <w:szCs w:val="36"/>
                <w:lang w:bidi="he-IL"/>
              </w:rPr>
              <w:t>Agenda Item</w:t>
            </w:r>
          </w:p>
          <w:p w14:paraId="4E664AE3" w14:textId="77777777" w:rsidR="00D9336F" w:rsidRPr="00452219" w:rsidRDefault="00D50EB9" w:rsidP="003B77E3">
            <w:pPr>
              <w:tabs>
                <w:tab w:val="left" w:pos="1595"/>
              </w:tabs>
              <w:spacing w:before="60" w:after="0" w:line="240" w:lineRule="auto"/>
              <w:jc w:val="center"/>
              <w:rPr>
                <w:rFonts w:ascii="Arial" w:eastAsia="Times New Roman" w:hAnsi="Arial" w:cs="Arial"/>
                <w:b/>
                <w:kern w:val="8"/>
                <w:sz w:val="72"/>
                <w:szCs w:val="72"/>
                <w:lang w:bidi="he-IL"/>
              </w:rPr>
            </w:pPr>
            <w:r>
              <w:rPr>
                <w:rFonts w:ascii="Arial" w:eastAsia="Times New Roman" w:hAnsi="Arial" w:cs="Arial"/>
                <w:b/>
                <w:kern w:val="8"/>
                <w:sz w:val="72"/>
                <w:szCs w:val="72"/>
                <w:lang w:bidi="he-IL"/>
              </w:rPr>
              <w:t>A</w:t>
            </w:r>
          </w:p>
        </w:tc>
      </w:tr>
      <w:tr w:rsidR="00D9336F" w:rsidRPr="00D9336F" w14:paraId="39DCF97E" w14:textId="77777777" w:rsidTr="00906FFB">
        <w:tc>
          <w:tcPr>
            <w:tcW w:w="2592" w:type="dxa"/>
          </w:tcPr>
          <w:p w14:paraId="38B7A580" w14:textId="77777777" w:rsidR="00D9336F" w:rsidRPr="00D9336F" w:rsidRDefault="00D9336F" w:rsidP="006F1B73">
            <w:pPr>
              <w:spacing w:before="120" w:after="120" w:line="280" w:lineRule="exact"/>
              <w:ind w:left="-115"/>
              <w:jc w:val="both"/>
              <w:rPr>
                <w:rFonts w:ascii="Arial" w:eastAsia="Times New Roman" w:hAnsi="Arial" w:cs="Arial"/>
                <w:kern w:val="8"/>
                <w:sz w:val="20"/>
                <w:szCs w:val="20"/>
                <w:lang w:bidi="he-IL"/>
              </w:rPr>
            </w:pPr>
            <w:r w:rsidRPr="00D9336F">
              <w:rPr>
                <w:rFonts w:ascii="Arial" w:eastAsia="Times New Roman" w:hAnsi="Arial" w:cs="Arial"/>
                <w:b/>
                <w:caps/>
                <w:kern w:val="8"/>
                <w:sz w:val="20"/>
                <w:szCs w:val="20"/>
                <w:lang w:bidi="he-IL"/>
              </w:rPr>
              <w:t>M</w:t>
            </w:r>
            <w:r w:rsidRPr="00D9336F">
              <w:rPr>
                <w:rFonts w:ascii="Arial" w:eastAsia="Times New Roman" w:hAnsi="Arial" w:cs="Arial"/>
                <w:b/>
                <w:kern w:val="8"/>
                <w:sz w:val="20"/>
                <w:szCs w:val="20"/>
                <w:lang w:bidi="he-IL"/>
              </w:rPr>
              <w:t>eeting</w:t>
            </w:r>
            <w:r w:rsidRPr="00D9336F">
              <w:rPr>
                <w:rFonts w:ascii="Arial" w:eastAsia="Times New Roman" w:hAnsi="Arial" w:cs="Arial"/>
                <w:b/>
                <w:caps/>
                <w:kern w:val="8"/>
                <w:sz w:val="20"/>
                <w:szCs w:val="20"/>
                <w:lang w:bidi="he-IL"/>
              </w:rPr>
              <w:t xml:space="preserve"> L</w:t>
            </w:r>
            <w:r w:rsidRPr="00D9336F">
              <w:rPr>
                <w:rFonts w:ascii="Arial" w:eastAsia="Times New Roman" w:hAnsi="Arial" w:cs="Arial"/>
                <w:b/>
                <w:kern w:val="8"/>
                <w:sz w:val="20"/>
                <w:szCs w:val="20"/>
                <w:lang w:bidi="he-IL"/>
              </w:rPr>
              <w:t>ocation:</w:t>
            </w:r>
          </w:p>
        </w:tc>
        <w:tc>
          <w:tcPr>
            <w:tcW w:w="3798" w:type="dxa"/>
          </w:tcPr>
          <w:p w14:paraId="7854F511" w14:textId="77777777" w:rsidR="00D9336F" w:rsidRPr="00D9336F" w:rsidRDefault="00364496" w:rsidP="00364496">
            <w:pPr>
              <w:spacing w:before="120" w:after="120" w:line="280" w:lineRule="exact"/>
              <w:jc w:val="both"/>
              <w:rPr>
                <w:rFonts w:ascii="Arial" w:eastAsia="Times New Roman" w:hAnsi="Arial" w:cs="Arial"/>
                <w:kern w:val="8"/>
                <w:sz w:val="20"/>
                <w:szCs w:val="20"/>
                <w:lang w:bidi="he-IL"/>
              </w:rPr>
            </w:pPr>
            <w:r>
              <w:rPr>
                <w:rFonts w:ascii="Arial" w:eastAsia="Times New Roman" w:hAnsi="Arial" w:cs="Arial"/>
                <w:kern w:val="8"/>
                <w:sz w:val="20"/>
                <w:szCs w:val="20"/>
                <w:lang w:bidi="he-IL"/>
              </w:rPr>
              <w:t xml:space="preserve">Teleconference </w:t>
            </w:r>
          </w:p>
        </w:tc>
        <w:tc>
          <w:tcPr>
            <w:tcW w:w="3060" w:type="dxa"/>
            <w:vMerge/>
          </w:tcPr>
          <w:p w14:paraId="6E4A77A5" w14:textId="77777777" w:rsidR="00D9336F" w:rsidRPr="00D9336F" w:rsidRDefault="00D9336F" w:rsidP="00D9336F">
            <w:pPr>
              <w:spacing w:after="0" w:line="280" w:lineRule="exact"/>
              <w:jc w:val="both"/>
              <w:rPr>
                <w:rFonts w:ascii="Times New Roman" w:eastAsia="Times New Roman" w:hAnsi="Times New Roman" w:cs="Times New Roman"/>
                <w:kern w:val="8"/>
                <w:sz w:val="24"/>
                <w:szCs w:val="24"/>
                <w:lang w:bidi="he-IL"/>
              </w:rPr>
            </w:pPr>
          </w:p>
        </w:tc>
      </w:tr>
      <w:tr w:rsidR="00D9336F" w:rsidRPr="00D9336F" w14:paraId="77377082" w14:textId="77777777" w:rsidTr="00CA47FB">
        <w:trPr>
          <w:trHeight w:val="378"/>
        </w:trPr>
        <w:tc>
          <w:tcPr>
            <w:tcW w:w="2592" w:type="dxa"/>
          </w:tcPr>
          <w:p w14:paraId="6D5C16AF" w14:textId="77777777" w:rsidR="00D9336F" w:rsidRPr="00D9336F" w:rsidRDefault="00D9336F" w:rsidP="006F1B73">
            <w:pPr>
              <w:spacing w:before="120" w:after="120" w:line="280" w:lineRule="exact"/>
              <w:ind w:left="-115"/>
              <w:jc w:val="both"/>
              <w:rPr>
                <w:rFonts w:ascii="Arial" w:eastAsia="Times New Roman" w:hAnsi="Arial" w:cs="Arial"/>
                <w:kern w:val="8"/>
                <w:sz w:val="20"/>
                <w:szCs w:val="20"/>
                <w:lang w:bidi="he-IL"/>
              </w:rPr>
            </w:pPr>
            <w:r w:rsidRPr="00D9336F">
              <w:rPr>
                <w:rFonts w:ascii="Arial" w:eastAsia="Times New Roman" w:hAnsi="Arial" w:cs="Arial"/>
                <w:b/>
                <w:caps/>
                <w:kern w:val="8"/>
                <w:sz w:val="20"/>
                <w:szCs w:val="20"/>
                <w:lang w:bidi="he-IL"/>
              </w:rPr>
              <w:t>M</w:t>
            </w:r>
            <w:r w:rsidRPr="00D9336F">
              <w:rPr>
                <w:rFonts w:ascii="Arial" w:eastAsia="Times New Roman" w:hAnsi="Arial" w:cs="Arial"/>
                <w:b/>
                <w:kern w:val="8"/>
                <w:sz w:val="20"/>
                <w:szCs w:val="20"/>
                <w:lang w:bidi="he-IL"/>
              </w:rPr>
              <w:t>eeting</w:t>
            </w:r>
            <w:r w:rsidRPr="00D9336F">
              <w:rPr>
                <w:rFonts w:ascii="Arial" w:eastAsia="Times New Roman" w:hAnsi="Arial" w:cs="Arial"/>
                <w:b/>
                <w:caps/>
                <w:kern w:val="8"/>
                <w:sz w:val="20"/>
                <w:szCs w:val="20"/>
                <w:lang w:bidi="he-IL"/>
              </w:rPr>
              <w:t xml:space="preserve"> D</w:t>
            </w:r>
            <w:r w:rsidRPr="00D9336F">
              <w:rPr>
                <w:rFonts w:ascii="Arial" w:eastAsia="Times New Roman" w:hAnsi="Arial" w:cs="Arial"/>
                <w:b/>
                <w:kern w:val="8"/>
                <w:sz w:val="20"/>
                <w:szCs w:val="20"/>
                <w:lang w:bidi="he-IL"/>
              </w:rPr>
              <w:t>ate:</w:t>
            </w:r>
          </w:p>
        </w:tc>
        <w:tc>
          <w:tcPr>
            <w:tcW w:w="3798" w:type="dxa"/>
          </w:tcPr>
          <w:p w14:paraId="00DF3575" w14:textId="77777777" w:rsidR="00D9336F" w:rsidRPr="00D9336F" w:rsidRDefault="00364496" w:rsidP="00ED0A00">
            <w:pPr>
              <w:spacing w:before="120" w:after="120" w:line="280" w:lineRule="exact"/>
              <w:jc w:val="both"/>
              <w:rPr>
                <w:rFonts w:ascii="Arial" w:eastAsia="Times New Roman" w:hAnsi="Arial" w:cs="Arial"/>
                <w:kern w:val="8"/>
                <w:sz w:val="20"/>
                <w:szCs w:val="20"/>
                <w:lang w:bidi="he-IL"/>
              </w:rPr>
            </w:pPr>
            <w:r>
              <w:rPr>
                <w:rFonts w:ascii="Arial" w:eastAsia="Times New Roman" w:hAnsi="Arial" w:cs="Arial"/>
                <w:kern w:val="8"/>
                <w:sz w:val="20"/>
                <w:szCs w:val="20"/>
                <w:lang w:bidi="he-IL"/>
              </w:rPr>
              <w:t>June 30</w:t>
            </w:r>
            <w:r w:rsidR="00466304">
              <w:rPr>
                <w:rFonts w:ascii="Arial" w:eastAsia="Times New Roman" w:hAnsi="Arial" w:cs="Arial"/>
                <w:kern w:val="8"/>
                <w:sz w:val="20"/>
                <w:szCs w:val="20"/>
                <w:lang w:bidi="he-IL"/>
              </w:rPr>
              <w:t>,</w:t>
            </w:r>
            <w:r w:rsidR="00CA1DAF">
              <w:rPr>
                <w:rFonts w:ascii="Arial" w:eastAsia="Times New Roman" w:hAnsi="Arial" w:cs="Arial"/>
                <w:kern w:val="8"/>
                <w:sz w:val="20"/>
                <w:szCs w:val="20"/>
                <w:lang w:bidi="he-IL"/>
              </w:rPr>
              <w:t xml:space="preserve"> 201</w:t>
            </w:r>
            <w:r w:rsidR="00ED0A00">
              <w:rPr>
                <w:rFonts w:ascii="Arial" w:eastAsia="Times New Roman" w:hAnsi="Arial" w:cs="Arial"/>
                <w:kern w:val="8"/>
                <w:sz w:val="20"/>
                <w:szCs w:val="20"/>
                <w:lang w:bidi="he-IL"/>
              </w:rPr>
              <w:t>4</w:t>
            </w:r>
          </w:p>
        </w:tc>
        <w:tc>
          <w:tcPr>
            <w:tcW w:w="3060" w:type="dxa"/>
            <w:vMerge/>
          </w:tcPr>
          <w:p w14:paraId="0E1282FA" w14:textId="77777777" w:rsidR="00D9336F" w:rsidRPr="00D9336F" w:rsidRDefault="00D9336F" w:rsidP="00D9336F">
            <w:pPr>
              <w:spacing w:after="0" w:line="280" w:lineRule="exact"/>
              <w:jc w:val="both"/>
              <w:rPr>
                <w:rFonts w:ascii="Times New Roman" w:eastAsia="Times New Roman" w:hAnsi="Times New Roman" w:cs="Times New Roman"/>
                <w:kern w:val="8"/>
                <w:sz w:val="24"/>
                <w:szCs w:val="24"/>
                <w:lang w:bidi="he-IL"/>
              </w:rPr>
            </w:pPr>
          </w:p>
        </w:tc>
      </w:tr>
    </w:tbl>
    <w:p w14:paraId="24E41FB4" w14:textId="77777777" w:rsidR="004042AC" w:rsidRPr="00452219" w:rsidRDefault="00452219" w:rsidP="004042AC">
      <w:pPr>
        <w:spacing w:before="240" w:after="0" w:line="280" w:lineRule="exact"/>
        <w:jc w:val="center"/>
        <w:rPr>
          <w:rFonts w:ascii="Arial" w:eastAsia="Times New Roman" w:hAnsi="Arial" w:cs="Arial"/>
          <w:b/>
          <w:kern w:val="8"/>
          <w:sz w:val="24"/>
          <w:szCs w:val="20"/>
          <w:lang w:bidi="he-IL"/>
        </w:rPr>
      </w:pPr>
      <w:r w:rsidRPr="00452219">
        <w:rPr>
          <w:rFonts w:ascii="Arial" w:eastAsia="Times New Roman" w:hAnsi="Arial" w:cs="Arial"/>
          <w:b/>
          <w:kern w:val="8"/>
          <w:sz w:val="24"/>
          <w:szCs w:val="20"/>
          <w:lang w:bidi="he-IL"/>
        </w:rPr>
        <w:t>Long Association</w:t>
      </w:r>
      <w:r w:rsidR="00FA5492">
        <w:rPr>
          <w:rFonts w:ascii="Arial" w:eastAsia="Times New Roman" w:hAnsi="Arial" w:cs="Arial"/>
          <w:b/>
          <w:kern w:val="8"/>
          <w:sz w:val="24"/>
          <w:szCs w:val="20"/>
          <w:lang w:bidi="he-IL"/>
        </w:rPr>
        <w:t xml:space="preserve"> – </w:t>
      </w:r>
      <w:r w:rsidR="00F26887">
        <w:rPr>
          <w:rFonts w:ascii="Arial" w:eastAsia="Times New Roman" w:hAnsi="Arial" w:cs="Arial"/>
          <w:b/>
          <w:kern w:val="8"/>
          <w:sz w:val="24"/>
          <w:szCs w:val="20"/>
          <w:lang w:bidi="he-IL"/>
        </w:rPr>
        <w:t xml:space="preserve">Cover Note and </w:t>
      </w:r>
      <w:r w:rsidR="00F26887">
        <w:rPr>
          <w:rFonts w:ascii="Arial" w:eastAsia="Times New Roman" w:hAnsi="Arial" w:cs="Arial"/>
          <w:b/>
          <w:bCs/>
          <w:kern w:val="8"/>
          <w:sz w:val="24"/>
          <w:szCs w:val="24"/>
          <w:lang w:bidi="he-IL"/>
        </w:rPr>
        <w:t>Report-Back</w:t>
      </w:r>
    </w:p>
    <w:p w14:paraId="5EA110FC" w14:textId="77777777" w:rsidR="00D9336F" w:rsidRPr="00D9336F" w:rsidRDefault="006F1B73" w:rsidP="00C93A00">
      <w:pPr>
        <w:spacing w:before="240" w:after="0" w:line="280" w:lineRule="exact"/>
        <w:rPr>
          <w:rFonts w:ascii="Arial" w:eastAsia="Times New Roman" w:hAnsi="Arial" w:cs="Arial"/>
          <w:b/>
          <w:kern w:val="8"/>
          <w:sz w:val="20"/>
          <w:szCs w:val="20"/>
          <w:lang w:bidi="he-IL"/>
        </w:rPr>
      </w:pPr>
      <w:r>
        <w:rPr>
          <w:rFonts w:ascii="Arial" w:eastAsia="Times New Roman" w:hAnsi="Arial" w:cs="Arial"/>
          <w:b/>
          <w:kern w:val="8"/>
          <w:sz w:val="20"/>
          <w:szCs w:val="20"/>
          <w:lang w:bidi="he-IL"/>
        </w:rPr>
        <w:t>Objective</w:t>
      </w:r>
      <w:r w:rsidR="00AE24A9">
        <w:rPr>
          <w:rFonts w:ascii="Arial" w:eastAsia="Times New Roman" w:hAnsi="Arial" w:cs="Arial"/>
          <w:b/>
          <w:kern w:val="8"/>
          <w:sz w:val="20"/>
          <w:szCs w:val="20"/>
          <w:lang w:bidi="he-IL"/>
        </w:rPr>
        <w:t>s</w:t>
      </w:r>
      <w:r w:rsidR="00D9336F">
        <w:rPr>
          <w:rFonts w:ascii="Arial" w:eastAsia="Times New Roman" w:hAnsi="Arial" w:cs="Arial"/>
          <w:b/>
          <w:kern w:val="8"/>
          <w:sz w:val="20"/>
          <w:szCs w:val="20"/>
          <w:lang w:bidi="he-IL"/>
        </w:rPr>
        <w:t xml:space="preserve"> of Agenda Item</w:t>
      </w:r>
    </w:p>
    <w:p w14:paraId="64157028" w14:textId="6211DA67" w:rsidR="00AE24A9" w:rsidRDefault="00AE24A9" w:rsidP="00E927D9">
      <w:pPr>
        <w:pStyle w:val="ListParagraph"/>
        <w:numPr>
          <w:ilvl w:val="0"/>
          <w:numId w:val="3"/>
        </w:numPr>
        <w:spacing w:before="120" w:after="120" w:line="280" w:lineRule="exact"/>
        <w:ind w:left="533" w:hanging="533"/>
        <w:contextualSpacing w:val="0"/>
        <w:jc w:val="both"/>
        <w:rPr>
          <w:rFonts w:ascii="Arial" w:hAnsi="Arial" w:cs="Arial"/>
          <w:sz w:val="20"/>
          <w:szCs w:val="20"/>
        </w:rPr>
      </w:pPr>
      <w:r w:rsidRPr="00AE24A9">
        <w:rPr>
          <w:rFonts w:ascii="Arial" w:hAnsi="Arial" w:cs="Arial"/>
          <w:sz w:val="20"/>
          <w:szCs w:val="20"/>
        </w:rPr>
        <w:t xml:space="preserve">To provide a </w:t>
      </w:r>
      <w:r>
        <w:rPr>
          <w:rFonts w:ascii="Arial" w:hAnsi="Arial" w:cs="Arial"/>
          <w:sz w:val="20"/>
          <w:szCs w:val="20"/>
        </w:rPr>
        <w:t>report-</w:t>
      </w:r>
      <w:r w:rsidR="0044077F">
        <w:rPr>
          <w:rFonts w:ascii="Arial" w:hAnsi="Arial" w:cs="Arial"/>
          <w:sz w:val="20"/>
          <w:szCs w:val="20"/>
        </w:rPr>
        <w:t xml:space="preserve">back on </w:t>
      </w:r>
      <w:r w:rsidR="00EF5971">
        <w:rPr>
          <w:rFonts w:ascii="Arial" w:hAnsi="Arial" w:cs="Arial"/>
          <w:sz w:val="20"/>
          <w:szCs w:val="20"/>
        </w:rPr>
        <w:t>comments received f</w:t>
      </w:r>
      <w:r w:rsidR="0044077F">
        <w:rPr>
          <w:rFonts w:ascii="Arial" w:hAnsi="Arial" w:cs="Arial"/>
          <w:sz w:val="20"/>
          <w:szCs w:val="20"/>
        </w:rPr>
        <w:t>rom</w:t>
      </w:r>
      <w:r w:rsidRPr="00AE24A9">
        <w:rPr>
          <w:rFonts w:ascii="Arial" w:hAnsi="Arial" w:cs="Arial"/>
          <w:sz w:val="20"/>
          <w:szCs w:val="20"/>
        </w:rPr>
        <w:t xml:space="preserve"> </w:t>
      </w:r>
      <w:r w:rsidR="00E655A2">
        <w:rPr>
          <w:rFonts w:ascii="Arial" w:hAnsi="Arial" w:cs="Arial"/>
          <w:sz w:val="20"/>
          <w:szCs w:val="20"/>
        </w:rPr>
        <w:t>CAG R</w:t>
      </w:r>
      <w:r w:rsidRPr="00AE24A9">
        <w:rPr>
          <w:rFonts w:ascii="Arial" w:hAnsi="Arial" w:cs="Arial"/>
          <w:sz w:val="20"/>
          <w:szCs w:val="20"/>
        </w:rPr>
        <w:t xml:space="preserve">epresentatives on this project at the </w:t>
      </w:r>
      <w:r w:rsidR="0020766D">
        <w:rPr>
          <w:rFonts w:ascii="Arial" w:hAnsi="Arial" w:cs="Arial"/>
          <w:sz w:val="20"/>
          <w:szCs w:val="20"/>
        </w:rPr>
        <w:t>March 2014</w:t>
      </w:r>
      <w:r w:rsidR="00C51053">
        <w:rPr>
          <w:rFonts w:ascii="Arial" w:hAnsi="Arial" w:cs="Arial"/>
          <w:sz w:val="20"/>
          <w:szCs w:val="20"/>
        </w:rPr>
        <w:t xml:space="preserve"> </w:t>
      </w:r>
      <w:r w:rsidRPr="00AE24A9">
        <w:rPr>
          <w:rFonts w:ascii="Arial" w:hAnsi="Arial" w:cs="Arial"/>
          <w:sz w:val="20"/>
          <w:szCs w:val="20"/>
        </w:rPr>
        <w:t xml:space="preserve">CAG </w:t>
      </w:r>
      <w:r w:rsidR="006F2703">
        <w:rPr>
          <w:rFonts w:ascii="Arial" w:hAnsi="Arial" w:cs="Arial"/>
          <w:sz w:val="20"/>
          <w:szCs w:val="20"/>
        </w:rPr>
        <w:t>Meeting</w:t>
      </w:r>
      <w:r>
        <w:rPr>
          <w:rFonts w:ascii="Arial" w:hAnsi="Arial" w:cs="Arial"/>
          <w:sz w:val="20"/>
          <w:szCs w:val="20"/>
        </w:rPr>
        <w:t>.</w:t>
      </w:r>
    </w:p>
    <w:p w14:paraId="257C9BDB" w14:textId="3D352EBB" w:rsidR="003E59D4" w:rsidRDefault="00D37D07" w:rsidP="00E927D9">
      <w:pPr>
        <w:pStyle w:val="ListParagraph"/>
        <w:numPr>
          <w:ilvl w:val="0"/>
          <w:numId w:val="3"/>
        </w:numPr>
        <w:spacing w:before="120" w:after="120" w:line="280" w:lineRule="exact"/>
        <w:ind w:left="540" w:hanging="540"/>
        <w:contextualSpacing w:val="0"/>
        <w:jc w:val="both"/>
        <w:rPr>
          <w:rFonts w:ascii="Arial" w:hAnsi="Arial" w:cs="Arial"/>
          <w:sz w:val="20"/>
          <w:szCs w:val="20"/>
        </w:rPr>
      </w:pPr>
      <w:r w:rsidRPr="003E59D4">
        <w:rPr>
          <w:rFonts w:ascii="Arial" w:hAnsi="Arial" w:cs="Arial"/>
          <w:sz w:val="20"/>
          <w:szCs w:val="20"/>
        </w:rPr>
        <w:t xml:space="preserve">To </w:t>
      </w:r>
      <w:r w:rsidR="00E655A2" w:rsidRPr="003E59D4">
        <w:rPr>
          <w:rFonts w:ascii="Arial" w:hAnsi="Arial" w:cs="Arial"/>
          <w:sz w:val="20"/>
          <w:szCs w:val="20"/>
        </w:rPr>
        <w:t>obtain CAG R</w:t>
      </w:r>
      <w:r w:rsidR="00833890" w:rsidRPr="003E59D4">
        <w:rPr>
          <w:rFonts w:ascii="Arial" w:hAnsi="Arial" w:cs="Arial"/>
          <w:sz w:val="20"/>
          <w:szCs w:val="20"/>
        </w:rPr>
        <w:t>epresentatives’ view</w:t>
      </w:r>
      <w:r w:rsidR="00AE24A9" w:rsidRPr="003E59D4">
        <w:rPr>
          <w:rFonts w:ascii="Arial" w:hAnsi="Arial" w:cs="Arial"/>
          <w:sz w:val="20"/>
          <w:szCs w:val="20"/>
        </w:rPr>
        <w:t>s</w:t>
      </w:r>
      <w:r w:rsidR="00833890" w:rsidRPr="003E59D4">
        <w:rPr>
          <w:rFonts w:ascii="Arial" w:hAnsi="Arial" w:cs="Arial"/>
          <w:sz w:val="20"/>
          <w:szCs w:val="20"/>
        </w:rPr>
        <w:t xml:space="preserve"> on</w:t>
      </w:r>
      <w:r w:rsidR="00885CD1">
        <w:rPr>
          <w:rFonts w:ascii="Arial" w:hAnsi="Arial" w:cs="Arial"/>
          <w:sz w:val="20"/>
          <w:szCs w:val="20"/>
        </w:rPr>
        <w:t xml:space="preserve"> the Task Force’s </w:t>
      </w:r>
      <w:r w:rsidR="00CA03E2">
        <w:rPr>
          <w:rFonts w:ascii="Arial" w:hAnsi="Arial" w:cs="Arial"/>
          <w:sz w:val="20"/>
          <w:szCs w:val="20"/>
        </w:rPr>
        <w:t xml:space="preserve">(TF’s) </w:t>
      </w:r>
      <w:r w:rsidR="00885CD1">
        <w:rPr>
          <w:rFonts w:ascii="Arial" w:hAnsi="Arial" w:cs="Arial"/>
          <w:sz w:val="20"/>
          <w:szCs w:val="20"/>
        </w:rPr>
        <w:t>proposals with regard to:</w:t>
      </w:r>
    </w:p>
    <w:p w14:paraId="3873D48F" w14:textId="598DCFBA" w:rsidR="00885CD1" w:rsidRDefault="00A628B5" w:rsidP="0045584C">
      <w:pPr>
        <w:pStyle w:val="ListParagraph"/>
        <w:numPr>
          <w:ilvl w:val="1"/>
          <w:numId w:val="3"/>
        </w:numPr>
        <w:spacing w:before="120" w:after="0" w:line="280" w:lineRule="exact"/>
        <w:ind w:left="1094" w:hanging="547"/>
        <w:contextualSpacing w:val="0"/>
        <w:jc w:val="both"/>
        <w:rPr>
          <w:rFonts w:ascii="Arial" w:hAnsi="Arial" w:cs="Arial"/>
          <w:sz w:val="20"/>
          <w:szCs w:val="20"/>
        </w:rPr>
      </w:pPr>
      <w:r>
        <w:rPr>
          <w:rFonts w:ascii="Arial" w:hAnsi="Arial" w:cs="Arial"/>
          <w:sz w:val="20"/>
          <w:szCs w:val="20"/>
        </w:rPr>
        <w:t>A</w:t>
      </w:r>
      <w:r w:rsidR="0045584C">
        <w:rPr>
          <w:rFonts w:ascii="Arial" w:hAnsi="Arial" w:cs="Arial"/>
          <w:sz w:val="20"/>
          <w:szCs w:val="20"/>
        </w:rPr>
        <w:t xml:space="preserve"> five</w:t>
      </w:r>
      <w:r w:rsidR="006F2703">
        <w:rPr>
          <w:rFonts w:ascii="Arial" w:hAnsi="Arial" w:cs="Arial"/>
          <w:sz w:val="20"/>
          <w:szCs w:val="20"/>
        </w:rPr>
        <w:t>-</w:t>
      </w:r>
      <w:r w:rsidR="0045584C">
        <w:rPr>
          <w:rFonts w:ascii="Arial" w:hAnsi="Arial" w:cs="Arial"/>
          <w:sz w:val="20"/>
          <w:szCs w:val="20"/>
        </w:rPr>
        <w:t>year cooling-off period applying on</w:t>
      </w:r>
      <w:r w:rsidR="007E113A">
        <w:rPr>
          <w:rFonts w:ascii="Arial" w:hAnsi="Arial" w:cs="Arial"/>
          <w:sz w:val="20"/>
          <w:szCs w:val="20"/>
        </w:rPr>
        <w:t xml:space="preserve">ly to </w:t>
      </w:r>
      <w:r w:rsidR="009A0D5B">
        <w:rPr>
          <w:rFonts w:ascii="Arial" w:hAnsi="Arial" w:cs="Arial"/>
          <w:sz w:val="20"/>
          <w:szCs w:val="20"/>
        </w:rPr>
        <w:t>l</w:t>
      </w:r>
      <w:r w:rsidR="007E113A">
        <w:rPr>
          <w:rFonts w:ascii="Arial" w:hAnsi="Arial" w:cs="Arial"/>
          <w:sz w:val="20"/>
          <w:szCs w:val="20"/>
        </w:rPr>
        <w:t xml:space="preserve">ead </w:t>
      </w:r>
      <w:r w:rsidR="009A0D5B">
        <w:rPr>
          <w:rFonts w:ascii="Arial" w:hAnsi="Arial" w:cs="Arial"/>
          <w:sz w:val="20"/>
          <w:szCs w:val="20"/>
        </w:rPr>
        <w:t>a</w:t>
      </w:r>
      <w:r w:rsidR="007E113A">
        <w:rPr>
          <w:rFonts w:ascii="Arial" w:hAnsi="Arial" w:cs="Arial"/>
          <w:sz w:val="20"/>
          <w:szCs w:val="20"/>
        </w:rPr>
        <w:t xml:space="preserve">udit </w:t>
      </w:r>
      <w:r w:rsidR="009A0D5B">
        <w:rPr>
          <w:rFonts w:ascii="Arial" w:hAnsi="Arial" w:cs="Arial"/>
          <w:sz w:val="20"/>
          <w:szCs w:val="20"/>
        </w:rPr>
        <w:t>e</w:t>
      </w:r>
      <w:r w:rsidR="007E113A">
        <w:rPr>
          <w:rFonts w:ascii="Arial" w:hAnsi="Arial" w:cs="Arial"/>
          <w:sz w:val="20"/>
          <w:szCs w:val="20"/>
        </w:rPr>
        <w:t xml:space="preserve">ngagement </w:t>
      </w:r>
      <w:r w:rsidR="009A0D5B">
        <w:rPr>
          <w:rFonts w:ascii="Arial" w:hAnsi="Arial" w:cs="Arial"/>
          <w:sz w:val="20"/>
          <w:szCs w:val="20"/>
        </w:rPr>
        <w:t>p</w:t>
      </w:r>
      <w:r w:rsidR="007E113A">
        <w:rPr>
          <w:rFonts w:ascii="Arial" w:hAnsi="Arial" w:cs="Arial"/>
          <w:sz w:val="20"/>
          <w:szCs w:val="20"/>
        </w:rPr>
        <w:t xml:space="preserve">artners (LAEPs) on the audit of </w:t>
      </w:r>
      <w:r w:rsidR="00381931">
        <w:rPr>
          <w:rFonts w:ascii="Arial" w:hAnsi="Arial" w:cs="Arial"/>
          <w:sz w:val="20"/>
          <w:szCs w:val="20"/>
        </w:rPr>
        <w:t>p</w:t>
      </w:r>
      <w:r w:rsidR="007E113A">
        <w:rPr>
          <w:rFonts w:ascii="Arial" w:hAnsi="Arial" w:cs="Arial"/>
          <w:sz w:val="20"/>
          <w:szCs w:val="20"/>
        </w:rPr>
        <w:t xml:space="preserve">ublic </w:t>
      </w:r>
      <w:r w:rsidR="00381931">
        <w:rPr>
          <w:rFonts w:ascii="Arial" w:hAnsi="Arial" w:cs="Arial"/>
          <w:sz w:val="20"/>
          <w:szCs w:val="20"/>
        </w:rPr>
        <w:t>i</w:t>
      </w:r>
      <w:r w:rsidR="007E113A">
        <w:rPr>
          <w:rFonts w:ascii="Arial" w:hAnsi="Arial" w:cs="Arial"/>
          <w:sz w:val="20"/>
          <w:szCs w:val="20"/>
        </w:rPr>
        <w:t xml:space="preserve">nterest </w:t>
      </w:r>
      <w:r w:rsidR="00381931">
        <w:rPr>
          <w:rFonts w:ascii="Arial" w:hAnsi="Arial" w:cs="Arial"/>
          <w:sz w:val="20"/>
          <w:szCs w:val="20"/>
        </w:rPr>
        <w:t>e</w:t>
      </w:r>
      <w:r w:rsidR="007E113A">
        <w:rPr>
          <w:rFonts w:ascii="Arial" w:hAnsi="Arial" w:cs="Arial"/>
          <w:sz w:val="20"/>
          <w:szCs w:val="20"/>
        </w:rPr>
        <w:t>ntities (PIEs)</w:t>
      </w:r>
      <w:r w:rsidR="009A0D5B">
        <w:rPr>
          <w:rFonts w:ascii="Arial" w:hAnsi="Arial" w:cs="Arial"/>
          <w:sz w:val="20"/>
          <w:szCs w:val="20"/>
        </w:rPr>
        <w:t>; and</w:t>
      </w:r>
    </w:p>
    <w:p w14:paraId="4EAE4E09" w14:textId="77777777" w:rsidR="007E113A" w:rsidRDefault="007E113A" w:rsidP="0045584C">
      <w:pPr>
        <w:pStyle w:val="ListParagraph"/>
        <w:numPr>
          <w:ilvl w:val="1"/>
          <w:numId w:val="3"/>
        </w:numPr>
        <w:spacing w:before="120" w:after="0" w:line="280" w:lineRule="exact"/>
        <w:ind w:left="1094" w:hanging="547"/>
        <w:contextualSpacing w:val="0"/>
        <w:jc w:val="both"/>
        <w:rPr>
          <w:rFonts w:ascii="Arial" w:hAnsi="Arial" w:cs="Arial"/>
          <w:sz w:val="20"/>
          <w:szCs w:val="20"/>
        </w:rPr>
      </w:pPr>
      <w:r>
        <w:rPr>
          <w:rFonts w:ascii="Arial" w:hAnsi="Arial" w:cs="Arial"/>
          <w:sz w:val="20"/>
          <w:szCs w:val="20"/>
        </w:rPr>
        <w:t xml:space="preserve">The revised proposals describing the roles and activities related to the audit client that </w:t>
      </w:r>
      <w:r w:rsidR="009040D2">
        <w:rPr>
          <w:rFonts w:ascii="Arial" w:hAnsi="Arial" w:cs="Arial"/>
          <w:sz w:val="20"/>
          <w:szCs w:val="20"/>
        </w:rPr>
        <w:t>can and cannot be undertaken during the cooling-off period</w:t>
      </w:r>
      <w:r w:rsidR="009A0D5B">
        <w:rPr>
          <w:rFonts w:ascii="Arial" w:hAnsi="Arial" w:cs="Arial"/>
          <w:sz w:val="20"/>
          <w:szCs w:val="20"/>
        </w:rPr>
        <w:t>.</w:t>
      </w:r>
    </w:p>
    <w:p w14:paraId="0FF4922E" w14:textId="77777777" w:rsidR="000577EC" w:rsidRPr="003E59D4" w:rsidRDefault="00671FC0" w:rsidP="003E59D4">
      <w:pPr>
        <w:spacing w:before="240" w:after="120" w:line="280" w:lineRule="exact"/>
        <w:jc w:val="both"/>
        <w:rPr>
          <w:rFonts w:ascii="Arial" w:eastAsia="Times New Roman" w:hAnsi="Arial" w:cs="Arial"/>
          <w:b/>
          <w:kern w:val="8"/>
          <w:sz w:val="20"/>
          <w:szCs w:val="20"/>
          <w:lang w:bidi="he-IL"/>
        </w:rPr>
      </w:pPr>
      <w:r w:rsidRPr="003E59D4">
        <w:rPr>
          <w:rFonts w:ascii="Arial" w:hAnsi="Arial" w:cs="Arial"/>
          <w:b/>
          <w:sz w:val="20"/>
          <w:szCs w:val="20"/>
        </w:rPr>
        <w:t>Project Status and Timeline</w:t>
      </w:r>
    </w:p>
    <w:p w14:paraId="34989932" w14:textId="77777777" w:rsidR="00865BFA" w:rsidRPr="00865BFA" w:rsidRDefault="009040D2" w:rsidP="00865BFA">
      <w:pPr>
        <w:pStyle w:val="ListParagraph"/>
        <w:numPr>
          <w:ilvl w:val="0"/>
          <w:numId w:val="3"/>
        </w:numPr>
        <w:spacing w:before="120" w:after="120" w:line="280" w:lineRule="exact"/>
        <w:ind w:left="540" w:hanging="540"/>
        <w:contextualSpacing w:val="0"/>
        <w:jc w:val="both"/>
        <w:rPr>
          <w:rFonts w:ascii="Arial" w:hAnsi="Arial" w:cs="Arial"/>
          <w:sz w:val="20"/>
          <w:szCs w:val="20"/>
        </w:rPr>
      </w:pPr>
      <w:r>
        <w:rPr>
          <w:rFonts w:ascii="Arial" w:hAnsi="Arial" w:cs="Arial"/>
          <w:sz w:val="20"/>
          <w:szCs w:val="20"/>
        </w:rPr>
        <w:t>The IESBA approved the project proposal at i</w:t>
      </w:r>
      <w:r w:rsidR="009A0D5B">
        <w:rPr>
          <w:rFonts w:ascii="Arial" w:hAnsi="Arial" w:cs="Arial"/>
          <w:sz w:val="20"/>
          <w:szCs w:val="20"/>
        </w:rPr>
        <w:t>t</w:t>
      </w:r>
      <w:r>
        <w:rPr>
          <w:rFonts w:ascii="Arial" w:hAnsi="Arial" w:cs="Arial"/>
          <w:sz w:val="20"/>
          <w:szCs w:val="20"/>
        </w:rPr>
        <w:t>s meeting in December 2012. I</w:t>
      </w:r>
      <w:r w:rsidR="00AA6F41">
        <w:rPr>
          <w:rFonts w:ascii="Arial" w:hAnsi="Arial" w:cs="Arial"/>
          <w:sz w:val="20"/>
          <w:szCs w:val="20"/>
        </w:rPr>
        <w:t>t has subsequently met to discu</w:t>
      </w:r>
      <w:r>
        <w:rPr>
          <w:rFonts w:ascii="Arial" w:hAnsi="Arial" w:cs="Arial"/>
          <w:sz w:val="20"/>
          <w:szCs w:val="20"/>
        </w:rPr>
        <w:t xml:space="preserve">ss the project </w:t>
      </w:r>
      <w:r w:rsidR="00AA6F41">
        <w:rPr>
          <w:rFonts w:ascii="Arial" w:hAnsi="Arial" w:cs="Arial"/>
          <w:sz w:val="20"/>
          <w:szCs w:val="20"/>
        </w:rPr>
        <w:t>in</w:t>
      </w:r>
      <w:r>
        <w:rPr>
          <w:rFonts w:ascii="Arial" w:hAnsi="Arial" w:cs="Arial"/>
          <w:sz w:val="20"/>
          <w:szCs w:val="20"/>
        </w:rPr>
        <w:t xml:space="preserve"> J</w:t>
      </w:r>
      <w:r w:rsidR="00AA6F41">
        <w:rPr>
          <w:rFonts w:ascii="Arial" w:hAnsi="Arial" w:cs="Arial"/>
          <w:sz w:val="20"/>
          <w:szCs w:val="20"/>
        </w:rPr>
        <w:t>une and December 2013 and April 2014.</w:t>
      </w:r>
    </w:p>
    <w:p w14:paraId="5D39ECA1" w14:textId="43D3C5C7" w:rsidR="00AA6F41" w:rsidRDefault="00EC2295" w:rsidP="00452219">
      <w:pPr>
        <w:pStyle w:val="ListParagraph"/>
        <w:numPr>
          <w:ilvl w:val="0"/>
          <w:numId w:val="3"/>
        </w:numPr>
        <w:spacing w:before="120" w:after="120" w:line="280" w:lineRule="exact"/>
        <w:ind w:left="540" w:hanging="540"/>
        <w:contextualSpacing w:val="0"/>
        <w:jc w:val="both"/>
        <w:rPr>
          <w:rFonts w:ascii="Arial" w:hAnsi="Arial" w:cs="Arial"/>
          <w:sz w:val="20"/>
          <w:szCs w:val="20"/>
        </w:rPr>
      </w:pPr>
      <w:r>
        <w:rPr>
          <w:rFonts w:ascii="Arial" w:hAnsi="Arial" w:cs="Arial"/>
          <w:sz w:val="20"/>
          <w:szCs w:val="20"/>
        </w:rPr>
        <w:t xml:space="preserve">The main </w:t>
      </w:r>
      <w:r w:rsidR="009A0D5B">
        <w:rPr>
          <w:rFonts w:ascii="Arial" w:hAnsi="Arial" w:cs="Arial"/>
          <w:sz w:val="20"/>
          <w:szCs w:val="20"/>
        </w:rPr>
        <w:t xml:space="preserve">issues </w:t>
      </w:r>
      <w:r>
        <w:rPr>
          <w:rFonts w:ascii="Arial" w:hAnsi="Arial" w:cs="Arial"/>
          <w:sz w:val="20"/>
          <w:szCs w:val="20"/>
        </w:rPr>
        <w:t xml:space="preserve">considered </w:t>
      </w:r>
      <w:r w:rsidR="009A0D5B">
        <w:rPr>
          <w:rFonts w:ascii="Arial" w:hAnsi="Arial" w:cs="Arial"/>
          <w:sz w:val="20"/>
          <w:szCs w:val="20"/>
        </w:rPr>
        <w:t xml:space="preserve">in the project </w:t>
      </w:r>
      <w:r>
        <w:rPr>
          <w:rFonts w:ascii="Arial" w:hAnsi="Arial" w:cs="Arial"/>
          <w:sz w:val="20"/>
          <w:szCs w:val="20"/>
        </w:rPr>
        <w:t>are:</w:t>
      </w:r>
    </w:p>
    <w:p w14:paraId="1237B1AF" w14:textId="77777777" w:rsidR="00EC2295" w:rsidRDefault="00EC2295" w:rsidP="00EC2295">
      <w:pPr>
        <w:pStyle w:val="ListParagraph"/>
        <w:numPr>
          <w:ilvl w:val="1"/>
          <w:numId w:val="3"/>
        </w:numPr>
        <w:spacing w:before="120" w:after="120" w:line="280" w:lineRule="exact"/>
        <w:ind w:left="1080" w:hanging="540"/>
        <w:contextualSpacing w:val="0"/>
        <w:jc w:val="both"/>
        <w:rPr>
          <w:rFonts w:ascii="Arial" w:hAnsi="Arial" w:cs="Arial"/>
          <w:sz w:val="20"/>
          <w:szCs w:val="20"/>
        </w:rPr>
      </w:pPr>
      <w:r>
        <w:rPr>
          <w:rFonts w:ascii="Arial" w:hAnsi="Arial" w:cs="Arial"/>
          <w:sz w:val="20"/>
          <w:szCs w:val="20"/>
        </w:rPr>
        <w:t>Strengthening the general framework in the Code surrounding long association</w:t>
      </w:r>
    </w:p>
    <w:p w14:paraId="7DA84E34" w14:textId="77777777" w:rsidR="00EC2295" w:rsidRDefault="00EC2295" w:rsidP="00EC2295">
      <w:pPr>
        <w:pStyle w:val="ListParagraph"/>
        <w:numPr>
          <w:ilvl w:val="1"/>
          <w:numId w:val="3"/>
        </w:numPr>
        <w:spacing w:before="120" w:after="120" w:line="280" w:lineRule="exact"/>
        <w:ind w:left="1080" w:hanging="540"/>
        <w:contextualSpacing w:val="0"/>
        <w:jc w:val="both"/>
        <w:rPr>
          <w:rFonts w:ascii="Arial" w:hAnsi="Arial" w:cs="Arial"/>
          <w:sz w:val="20"/>
          <w:szCs w:val="20"/>
        </w:rPr>
      </w:pPr>
      <w:r>
        <w:rPr>
          <w:rFonts w:ascii="Arial" w:hAnsi="Arial" w:cs="Arial"/>
          <w:sz w:val="20"/>
          <w:szCs w:val="20"/>
        </w:rPr>
        <w:t>Communication with those charged with governance (TCWG) as it relates to partner rotation</w:t>
      </w:r>
    </w:p>
    <w:p w14:paraId="3CCD139B" w14:textId="557767C8" w:rsidR="00EC2295" w:rsidRDefault="00EC2295" w:rsidP="00EC2295">
      <w:pPr>
        <w:pStyle w:val="ListParagraph"/>
        <w:numPr>
          <w:ilvl w:val="1"/>
          <w:numId w:val="3"/>
        </w:numPr>
        <w:spacing w:before="120" w:after="120" w:line="280" w:lineRule="exact"/>
        <w:ind w:left="1080" w:hanging="540"/>
        <w:contextualSpacing w:val="0"/>
        <w:jc w:val="both"/>
        <w:rPr>
          <w:rFonts w:ascii="Arial" w:hAnsi="Arial" w:cs="Arial"/>
          <w:sz w:val="20"/>
          <w:szCs w:val="20"/>
        </w:rPr>
      </w:pPr>
      <w:r>
        <w:rPr>
          <w:rFonts w:ascii="Arial" w:hAnsi="Arial" w:cs="Arial"/>
          <w:sz w:val="20"/>
          <w:szCs w:val="20"/>
        </w:rPr>
        <w:t xml:space="preserve">Time served on an audit before becoming a </w:t>
      </w:r>
      <w:r w:rsidR="009A0D5B">
        <w:rPr>
          <w:rFonts w:ascii="Arial" w:hAnsi="Arial" w:cs="Arial"/>
          <w:sz w:val="20"/>
          <w:szCs w:val="20"/>
        </w:rPr>
        <w:t>k</w:t>
      </w:r>
      <w:r>
        <w:rPr>
          <w:rFonts w:ascii="Arial" w:hAnsi="Arial" w:cs="Arial"/>
          <w:sz w:val="20"/>
          <w:szCs w:val="20"/>
        </w:rPr>
        <w:t xml:space="preserve">ey </w:t>
      </w:r>
      <w:r w:rsidR="009A0D5B">
        <w:rPr>
          <w:rFonts w:ascii="Arial" w:hAnsi="Arial" w:cs="Arial"/>
          <w:sz w:val="20"/>
          <w:szCs w:val="20"/>
        </w:rPr>
        <w:t>a</w:t>
      </w:r>
      <w:r>
        <w:rPr>
          <w:rFonts w:ascii="Arial" w:hAnsi="Arial" w:cs="Arial"/>
          <w:sz w:val="20"/>
          <w:szCs w:val="20"/>
        </w:rPr>
        <w:t xml:space="preserve">udit </w:t>
      </w:r>
      <w:r w:rsidR="009A0D5B">
        <w:rPr>
          <w:rFonts w:ascii="Arial" w:hAnsi="Arial" w:cs="Arial"/>
          <w:sz w:val="20"/>
          <w:szCs w:val="20"/>
        </w:rPr>
        <w:t>p</w:t>
      </w:r>
      <w:r>
        <w:rPr>
          <w:rFonts w:ascii="Arial" w:hAnsi="Arial" w:cs="Arial"/>
          <w:sz w:val="20"/>
          <w:szCs w:val="20"/>
        </w:rPr>
        <w:t>artner (KAP)</w:t>
      </w:r>
    </w:p>
    <w:p w14:paraId="2275FEBF" w14:textId="77777777" w:rsidR="00EC2295" w:rsidRDefault="00EC2295" w:rsidP="00EC2295">
      <w:pPr>
        <w:pStyle w:val="ListParagraph"/>
        <w:numPr>
          <w:ilvl w:val="1"/>
          <w:numId w:val="3"/>
        </w:numPr>
        <w:spacing w:before="120" w:after="120" w:line="280" w:lineRule="exact"/>
        <w:ind w:left="1080" w:hanging="540"/>
        <w:contextualSpacing w:val="0"/>
        <w:jc w:val="both"/>
        <w:rPr>
          <w:rFonts w:ascii="Arial" w:hAnsi="Arial" w:cs="Arial"/>
          <w:sz w:val="20"/>
          <w:szCs w:val="20"/>
        </w:rPr>
      </w:pPr>
      <w:r>
        <w:rPr>
          <w:rFonts w:ascii="Arial" w:hAnsi="Arial" w:cs="Arial"/>
          <w:sz w:val="20"/>
          <w:szCs w:val="20"/>
        </w:rPr>
        <w:t>Duration of the cooling-off period</w:t>
      </w:r>
    </w:p>
    <w:p w14:paraId="23BAAC45" w14:textId="77777777" w:rsidR="00EC2295" w:rsidRDefault="00EC2295" w:rsidP="00EC2295">
      <w:pPr>
        <w:pStyle w:val="ListParagraph"/>
        <w:numPr>
          <w:ilvl w:val="1"/>
          <w:numId w:val="3"/>
        </w:numPr>
        <w:spacing w:before="120" w:after="120" w:line="280" w:lineRule="exact"/>
        <w:ind w:left="1080" w:hanging="540"/>
        <w:contextualSpacing w:val="0"/>
        <w:jc w:val="both"/>
        <w:rPr>
          <w:rFonts w:ascii="Arial" w:hAnsi="Arial" w:cs="Arial"/>
          <w:sz w:val="20"/>
          <w:szCs w:val="20"/>
        </w:rPr>
      </w:pPr>
      <w:r>
        <w:rPr>
          <w:rFonts w:ascii="Arial" w:hAnsi="Arial" w:cs="Arial"/>
          <w:sz w:val="20"/>
          <w:szCs w:val="20"/>
        </w:rPr>
        <w:t>Permissible activities during cooling-off</w:t>
      </w:r>
    </w:p>
    <w:p w14:paraId="4B6FA676" w14:textId="3416C45D" w:rsidR="00EC2295" w:rsidRPr="00452219" w:rsidRDefault="00E96372" w:rsidP="00452219">
      <w:pPr>
        <w:pStyle w:val="ListParagraph"/>
        <w:numPr>
          <w:ilvl w:val="0"/>
          <w:numId w:val="3"/>
        </w:numPr>
        <w:spacing w:before="120" w:after="120" w:line="280" w:lineRule="exact"/>
        <w:ind w:left="540" w:hanging="540"/>
        <w:contextualSpacing w:val="0"/>
        <w:jc w:val="both"/>
        <w:rPr>
          <w:rFonts w:ascii="Arial" w:hAnsi="Arial" w:cs="Arial"/>
          <w:sz w:val="20"/>
          <w:szCs w:val="20"/>
        </w:rPr>
      </w:pPr>
      <w:r>
        <w:rPr>
          <w:rFonts w:ascii="Arial" w:hAnsi="Arial" w:cs="Arial"/>
          <w:sz w:val="20"/>
          <w:szCs w:val="20"/>
        </w:rPr>
        <w:t xml:space="preserve">The </w:t>
      </w:r>
      <w:r w:rsidR="009A0D5B">
        <w:rPr>
          <w:rFonts w:ascii="Arial" w:hAnsi="Arial" w:cs="Arial"/>
          <w:sz w:val="20"/>
          <w:szCs w:val="20"/>
        </w:rPr>
        <w:t xml:space="preserve">remaining </w:t>
      </w:r>
      <w:r>
        <w:rPr>
          <w:rFonts w:ascii="Arial" w:hAnsi="Arial" w:cs="Arial"/>
          <w:sz w:val="20"/>
          <w:szCs w:val="20"/>
        </w:rPr>
        <w:t xml:space="preserve">issues which the IESBA </w:t>
      </w:r>
      <w:r w:rsidR="009A0D5B">
        <w:rPr>
          <w:rFonts w:ascii="Arial" w:hAnsi="Arial" w:cs="Arial"/>
          <w:sz w:val="20"/>
          <w:szCs w:val="20"/>
        </w:rPr>
        <w:t xml:space="preserve">will consider prior to voting out an exposure draft at its July 2014 meeting </w:t>
      </w:r>
      <w:r>
        <w:rPr>
          <w:rFonts w:ascii="Arial" w:hAnsi="Arial" w:cs="Arial"/>
          <w:sz w:val="20"/>
          <w:szCs w:val="20"/>
        </w:rPr>
        <w:t>are set out in paragraph 2(a) and (b) above.</w:t>
      </w:r>
    </w:p>
    <w:p w14:paraId="1551DD14" w14:textId="77777777" w:rsidR="0041209D" w:rsidRDefault="00885CD1" w:rsidP="003E59D4">
      <w:pPr>
        <w:keepNext/>
        <w:tabs>
          <w:tab w:val="left" w:pos="540"/>
        </w:tabs>
        <w:spacing w:before="240" w:after="120" w:line="280" w:lineRule="exact"/>
        <w:rPr>
          <w:rFonts w:ascii="Arial" w:hAnsi="Arial" w:cs="Arial"/>
          <w:b/>
          <w:sz w:val="20"/>
          <w:szCs w:val="20"/>
        </w:rPr>
      </w:pPr>
      <w:r>
        <w:rPr>
          <w:rFonts w:ascii="Arial" w:hAnsi="Arial" w:cs="Arial"/>
          <w:b/>
          <w:sz w:val="20"/>
          <w:szCs w:val="20"/>
        </w:rPr>
        <w:t>March</w:t>
      </w:r>
      <w:r w:rsidR="0041209D">
        <w:rPr>
          <w:rFonts w:ascii="Arial" w:hAnsi="Arial" w:cs="Arial"/>
          <w:b/>
          <w:sz w:val="20"/>
          <w:szCs w:val="20"/>
        </w:rPr>
        <w:t xml:space="preserve"> 201</w:t>
      </w:r>
      <w:r>
        <w:rPr>
          <w:rFonts w:ascii="Arial" w:hAnsi="Arial" w:cs="Arial"/>
          <w:b/>
          <w:sz w:val="20"/>
          <w:szCs w:val="20"/>
        </w:rPr>
        <w:t>4</w:t>
      </w:r>
      <w:r w:rsidR="0041209D">
        <w:rPr>
          <w:rFonts w:ascii="Arial" w:hAnsi="Arial" w:cs="Arial"/>
          <w:b/>
          <w:sz w:val="20"/>
          <w:szCs w:val="20"/>
        </w:rPr>
        <w:t xml:space="preserve"> CAG Discussion</w:t>
      </w:r>
    </w:p>
    <w:p w14:paraId="009B0470" w14:textId="77777777" w:rsidR="00DA1CE1" w:rsidRPr="00DA1CE1" w:rsidRDefault="00FA5492" w:rsidP="007E07BA">
      <w:pPr>
        <w:pStyle w:val="ListParagraph"/>
        <w:numPr>
          <w:ilvl w:val="0"/>
          <w:numId w:val="3"/>
        </w:numPr>
        <w:spacing w:before="120" w:after="120" w:line="280" w:lineRule="exact"/>
        <w:ind w:left="540" w:hanging="540"/>
        <w:contextualSpacing w:val="0"/>
        <w:jc w:val="both"/>
        <w:rPr>
          <w:rFonts w:ascii="Arial" w:hAnsi="Arial" w:cs="Arial"/>
          <w:sz w:val="20"/>
          <w:szCs w:val="20"/>
        </w:rPr>
      </w:pPr>
      <w:r w:rsidRPr="0041209D">
        <w:rPr>
          <w:rFonts w:ascii="Arial" w:hAnsi="Arial" w:cs="Arial"/>
          <w:sz w:val="20"/>
          <w:szCs w:val="20"/>
        </w:rPr>
        <w:t xml:space="preserve">Below are extracts from the draft minutes of the </w:t>
      </w:r>
      <w:r w:rsidR="003939AC">
        <w:rPr>
          <w:rFonts w:ascii="Arial" w:hAnsi="Arial" w:cs="Arial"/>
          <w:sz w:val="20"/>
          <w:szCs w:val="20"/>
        </w:rPr>
        <w:t>March 2014</w:t>
      </w:r>
      <w:r w:rsidR="00D35878">
        <w:rPr>
          <w:rFonts w:ascii="Arial" w:hAnsi="Arial" w:cs="Arial"/>
          <w:sz w:val="20"/>
          <w:szCs w:val="20"/>
        </w:rPr>
        <w:t xml:space="preserve"> CAG Meeting</w:t>
      </w:r>
      <w:r w:rsidRPr="0041209D">
        <w:rPr>
          <w:rFonts w:ascii="Arial" w:hAnsi="Arial" w:cs="Arial"/>
          <w:sz w:val="20"/>
          <w:szCs w:val="20"/>
        </w:rPr>
        <w:t>,</w:t>
      </w:r>
      <w:r w:rsidRPr="0041209D">
        <w:rPr>
          <w:rFonts w:ascii="Arial" w:hAnsi="Arial" w:cs="Arial"/>
          <w:sz w:val="20"/>
          <w:szCs w:val="20"/>
          <w:vertAlign w:val="superscript"/>
        </w:rPr>
        <w:footnoteReference w:id="1"/>
      </w:r>
      <w:r w:rsidRPr="0041209D">
        <w:rPr>
          <w:rFonts w:ascii="Arial" w:hAnsi="Arial" w:cs="Arial"/>
          <w:sz w:val="20"/>
          <w:szCs w:val="20"/>
        </w:rPr>
        <w:t xml:space="preserve"> and an indication of how the project TF or </w:t>
      </w:r>
      <w:r>
        <w:rPr>
          <w:rFonts w:ascii="Arial" w:hAnsi="Arial" w:cs="Arial"/>
          <w:sz w:val="20"/>
          <w:szCs w:val="20"/>
        </w:rPr>
        <w:t xml:space="preserve">IESBA </w:t>
      </w:r>
      <w:r w:rsidRPr="0041209D">
        <w:rPr>
          <w:rFonts w:ascii="Arial" w:hAnsi="Arial" w:cs="Arial"/>
          <w:sz w:val="20"/>
          <w:szCs w:val="20"/>
        </w:rPr>
        <w:t xml:space="preserve">has responded </w:t>
      </w:r>
      <w:r w:rsidR="00EF5971">
        <w:rPr>
          <w:rFonts w:ascii="Arial" w:hAnsi="Arial" w:cs="Arial"/>
          <w:sz w:val="20"/>
          <w:szCs w:val="20"/>
        </w:rPr>
        <w:t xml:space="preserve">to date </w:t>
      </w:r>
      <w:r w:rsidRPr="0041209D">
        <w:rPr>
          <w:rFonts w:ascii="Arial" w:hAnsi="Arial" w:cs="Arial"/>
          <w:sz w:val="20"/>
          <w:szCs w:val="20"/>
        </w:rPr>
        <w:t xml:space="preserve">to </w:t>
      </w:r>
      <w:r>
        <w:rPr>
          <w:rFonts w:ascii="Arial" w:hAnsi="Arial" w:cs="Arial"/>
          <w:sz w:val="20"/>
          <w:szCs w:val="20"/>
        </w:rPr>
        <w:t>CAG R</w:t>
      </w:r>
      <w:r w:rsidRPr="0041209D">
        <w:rPr>
          <w:rFonts w:ascii="Arial" w:hAnsi="Arial" w:cs="Arial"/>
          <w:sz w:val="20"/>
          <w:szCs w:val="20"/>
        </w:rPr>
        <w:t>epresentatives’ comments</w:t>
      </w:r>
      <w:r w:rsidR="007D090F">
        <w:rPr>
          <w:rFonts w:ascii="Arial" w:hAnsi="Arial" w:cs="Arial"/>
          <w:sz w:val="20"/>
          <w:szCs w:val="20"/>
        </w:rPr>
        <w:t>:</w:t>
      </w:r>
    </w:p>
    <w:tbl>
      <w:tblPr>
        <w:tblStyle w:val="TableGrid"/>
        <w:tblW w:w="0" w:type="auto"/>
        <w:tblLook w:val="04A0" w:firstRow="1" w:lastRow="0" w:firstColumn="1" w:lastColumn="0" w:noHBand="0" w:noVBand="1"/>
      </w:tblPr>
      <w:tblGrid>
        <w:gridCol w:w="4788"/>
        <w:gridCol w:w="4788"/>
      </w:tblGrid>
      <w:tr w:rsidR="008042F1" w:rsidRPr="00DA1CE1" w14:paraId="3C09765F" w14:textId="77777777" w:rsidTr="003454A8">
        <w:tc>
          <w:tcPr>
            <w:tcW w:w="9576" w:type="dxa"/>
            <w:gridSpan w:val="2"/>
          </w:tcPr>
          <w:p w14:paraId="5605EAB1" w14:textId="77777777" w:rsidR="008042F1" w:rsidRPr="00381355" w:rsidRDefault="00F11FED" w:rsidP="00F11FED">
            <w:pPr>
              <w:spacing w:before="120" w:after="120" w:line="280" w:lineRule="exact"/>
              <w:jc w:val="center"/>
              <w:rPr>
                <w:rFonts w:ascii="Arial" w:hAnsi="Arial" w:cs="Arial"/>
                <w:b/>
                <w:sz w:val="20"/>
                <w:szCs w:val="20"/>
              </w:rPr>
            </w:pPr>
            <w:r w:rsidRPr="00381355">
              <w:rPr>
                <w:rFonts w:ascii="Arial" w:eastAsia="Times New Roman" w:hAnsi="Arial" w:cs="Arial"/>
                <w:smallCaps/>
                <w:sz w:val="20"/>
                <w:szCs w:val="20"/>
              </w:rPr>
              <w:t>Cooling-Off Period</w:t>
            </w:r>
          </w:p>
        </w:tc>
      </w:tr>
      <w:tr w:rsidR="008042F1" w:rsidRPr="00DA1CE1" w14:paraId="4D462652" w14:textId="77777777" w:rsidTr="002305C9">
        <w:tc>
          <w:tcPr>
            <w:tcW w:w="4788" w:type="dxa"/>
          </w:tcPr>
          <w:p w14:paraId="520EF94C" w14:textId="77777777" w:rsidR="008042F1" w:rsidRPr="00E7354B" w:rsidRDefault="006B026A" w:rsidP="007978ED">
            <w:pPr>
              <w:spacing w:before="120" w:after="120" w:line="280" w:lineRule="exact"/>
              <w:jc w:val="both"/>
              <w:rPr>
                <w:rFonts w:ascii="Arial" w:hAnsi="Arial" w:cs="Arial"/>
                <w:sz w:val="20"/>
                <w:szCs w:val="20"/>
              </w:rPr>
            </w:pPr>
            <w:r w:rsidRPr="006B026A">
              <w:rPr>
                <w:rFonts w:ascii="Arial" w:eastAsia="Times New Roman" w:hAnsi="Arial" w:cs="Arial"/>
                <w:kern w:val="8"/>
                <w:sz w:val="20"/>
                <w:szCs w:val="20"/>
                <w:lang w:bidi="he-IL"/>
              </w:rPr>
              <w:t xml:space="preserve">Mr. Koktvedgaard wondered whether the revised </w:t>
            </w:r>
            <w:r w:rsidRPr="006B026A">
              <w:rPr>
                <w:rFonts w:ascii="Arial" w:eastAsia="Times New Roman" w:hAnsi="Arial" w:cs="Arial"/>
                <w:kern w:val="8"/>
                <w:sz w:val="20"/>
                <w:szCs w:val="20"/>
                <w:lang w:bidi="he-IL"/>
              </w:rPr>
              <w:lastRenderedPageBreak/>
              <w:t xml:space="preserve">rotation provisions also covered senior personnel other than KAPs. </w:t>
            </w:r>
          </w:p>
        </w:tc>
        <w:tc>
          <w:tcPr>
            <w:tcW w:w="4788" w:type="dxa"/>
          </w:tcPr>
          <w:p w14:paraId="237EA9D5" w14:textId="77777777" w:rsidR="00BE2DD4" w:rsidRPr="00DA1CE1" w:rsidRDefault="007978ED" w:rsidP="00156B2A">
            <w:pPr>
              <w:spacing w:before="120" w:after="120" w:line="280" w:lineRule="exact"/>
              <w:jc w:val="both"/>
              <w:rPr>
                <w:rFonts w:ascii="Arial" w:hAnsi="Arial" w:cs="Arial"/>
                <w:sz w:val="20"/>
                <w:szCs w:val="20"/>
              </w:rPr>
            </w:pPr>
            <w:r w:rsidRPr="006B026A">
              <w:rPr>
                <w:rFonts w:ascii="Arial" w:eastAsia="Times New Roman" w:hAnsi="Arial" w:cs="Arial"/>
                <w:kern w:val="8"/>
                <w:sz w:val="20"/>
                <w:szCs w:val="20"/>
                <w:lang w:bidi="he-IL"/>
              </w:rPr>
              <w:lastRenderedPageBreak/>
              <w:t xml:space="preserve">Ms. Orbea explained that the TF proposed to deal </w:t>
            </w:r>
            <w:r w:rsidRPr="006B026A">
              <w:rPr>
                <w:rFonts w:ascii="Arial" w:eastAsia="Times New Roman" w:hAnsi="Arial" w:cs="Arial"/>
                <w:kern w:val="8"/>
                <w:sz w:val="20"/>
                <w:szCs w:val="20"/>
                <w:lang w:bidi="he-IL"/>
              </w:rPr>
              <w:lastRenderedPageBreak/>
              <w:t>with this under the general framework of principles addressing long association.</w:t>
            </w:r>
          </w:p>
        </w:tc>
      </w:tr>
      <w:tr w:rsidR="008042F1" w:rsidRPr="00DA1CE1" w14:paraId="239C9F2E" w14:textId="77777777" w:rsidTr="002305C9">
        <w:tc>
          <w:tcPr>
            <w:tcW w:w="4788" w:type="dxa"/>
          </w:tcPr>
          <w:p w14:paraId="1738FEBE" w14:textId="77777777" w:rsidR="008042F1" w:rsidRPr="00E7354B" w:rsidRDefault="006B026A" w:rsidP="00BF6CAF">
            <w:pPr>
              <w:spacing w:before="120" w:after="120" w:line="280" w:lineRule="exact"/>
              <w:jc w:val="both"/>
              <w:rPr>
                <w:rFonts w:ascii="Arial" w:hAnsi="Arial" w:cs="Arial"/>
                <w:sz w:val="20"/>
                <w:szCs w:val="20"/>
              </w:rPr>
            </w:pPr>
            <w:r w:rsidRPr="006B026A">
              <w:rPr>
                <w:rFonts w:ascii="Arial" w:eastAsia="Times New Roman" w:hAnsi="Arial" w:cs="Arial"/>
                <w:kern w:val="8"/>
                <w:sz w:val="20"/>
                <w:szCs w:val="20"/>
                <w:lang w:bidi="he-IL"/>
              </w:rPr>
              <w:lastRenderedPageBreak/>
              <w:t xml:space="preserve">Ms. de Beer was of the view that a bifurcation of cooling-off periods, coupled with coverage of different roles, would create a level of complexity that would be impractical to manage and oversee, particularly from the perspective of those charged with governance (TCWG). She was of the view that a three-year cooling-off period would be better than a two-year one. Mr. Waldron and Ms. Lopez shared Ms. de Beer’s view that a bifurcation would create unnecessary complications. </w:t>
            </w:r>
          </w:p>
        </w:tc>
        <w:tc>
          <w:tcPr>
            <w:tcW w:w="4788" w:type="dxa"/>
          </w:tcPr>
          <w:p w14:paraId="00918888" w14:textId="77777777" w:rsidR="00BF6CAF" w:rsidRDefault="00BF6CAF" w:rsidP="000F5221">
            <w:pPr>
              <w:spacing w:before="120" w:after="120" w:line="280" w:lineRule="exact"/>
              <w:jc w:val="both"/>
              <w:rPr>
                <w:rFonts w:ascii="Arial" w:hAnsi="Arial" w:cs="Arial"/>
                <w:sz w:val="20"/>
              </w:rPr>
            </w:pPr>
            <w:r>
              <w:rPr>
                <w:rFonts w:ascii="Arial" w:hAnsi="Arial" w:cs="Arial"/>
                <w:sz w:val="20"/>
              </w:rPr>
              <w:t xml:space="preserve">Ms. Orbea noted the views expressed. </w:t>
            </w:r>
          </w:p>
          <w:p w14:paraId="6A2F8426" w14:textId="77777777" w:rsidR="008042F1" w:rsidRDefault="008042F1" w:rsidP="000F5221">
            <w:pPr>
              <w:spacing w:before="120" w:after="120" w:line="280" w:lineRule="exact"/>
              <w:jc w:val="both"/>
              <w:rPr>
                <w:rFonts w:ascii="Arial" w:hAnsi="Arial" w:cs="Arial"/>
                <w:sz w:val="20"/>
              </w:rPr>
            </w:pPr>
          </w:p>
          <w:p w14:paraId="3BED8F3B" w14:textId="77777777" w:rsidR="00BF6CAF" w:rsidRPr="00DA1CE1" w:rsidRDefault="00BF6CAF" w:rsidP="000F5221">
            <w:pPr>
              <w:spacing w:before="120" w:after="120" w:line="280" w:lineRule="exact"/>
              <w:jc w:val="both"/>
              <w:rPr>
                <w:rFonts w:ascii="Arial" w:hAnsi="Arial" w:cs="Arial"/>
                <w:sz w:val="20"/>
                <w:szCs w:val="20"/>
              </w:rPr>
            </w:pPr>
          </w:p>
        </w:tc>
      </w:tr>
      <w:tr w:rsidR="008042F1" w:rsidRPr="00DA1CE1" w14:paraId="35FFD32E" w14:textId="77777777" w:rsidTr="002305C9">
        <w:tc>
          <w:tcPr>
            <w:tcW w:w="4788" w:type="dxa"/>
          </w:tcPr>
          <w:p w14:paraId="4A936BE5" w14:textId="77777777" w:rsidR="008042F1" w:rsidRPr="00E7354B" w:rsidRDefault="006B026A" w:rsidP="003F7254">
            <w:pPr>
              <w:spacing w:before="120" w:after="120" w:line="280" w:lineRule="exact"/>
              <w:jc w:val="both"/>
              <w:rPr>
                <w:rFonts w:ascii="Arial" w:hAnsi="Arial" w:cs="Arial"/>
                <w:sz w:val="20"/>
                <w:szCs w:val="20"/>
              </w:rPr>
            </w:pPr>
            <w:r w:rsidRPr="006B026A">
              <w:rPr>
                <w:rFonts w:ascii="Arial" w:eastAsia="Times New Roman" w:hAnsi="Arial" w:cs="Arial"/>
                <w:kern w:val="8"/>
                <w:sz w:val="20"/>
                <w:szCs w:val="20"/>
                <w:lang w:bidi="he-IL"/>
              </w:rPr>
              <w:t xml:space="preserve">Mr. James was of the view that the role(s) a KAP takes with the audit client should not dictate the cooling-off period. He noted a hypothetical situation where a significant amount of audit work could be performed on a subsidiary in another jurisdiction, with the KAP for the subsidiary) not being subject to the longer cooling-off period applicable to the LAEP. Mr. Waldron expressed a similar view, noting that since all KAPs are involved in the decision-making process, a consistent approach to rotation would be preferable. </w:t>
            </w:r>
          </w:p>
        </w:tc>
        <w:tc>
          <w:tcPr>
            <w:tcW w:w="4788" w:type="dxa"/>
          </w:tcPr>
          <w:p w14:paraId="149F1546" w14:textId="77777777" w:rsidR="008042F1" w:rsidRPr="00DA1CE1" w:rsidRDefault="003F7254" w:rsidP="009E5BFC">
            <w:pPr>
              <w:spacing w:before="120" w:after="120" w:line="280" w:lineRule="exact"/>
              <w:jc w:val="both"/>
              <w:rPr>
                <w:rFonts w:ascii="Arial" w:hAnsi="Arial" w:cs="Arial"/>
                <w:sz w:val="20"/>
                <w:szCs w:val="20"/>
              </w:rPr>
            </w:pPr>
            <w:r w:rsidRPr="006B026A">
              <w:rPr>
                <w:rFonts w:ascii="Arial" w:eastAsia="Times New Roman" w:hAnsi="Arial" w:cs="Arial"/>
                <w:kern w:val="8"/>
                <w:sz w:val="20"/>
                <w:szCs w:val="20"/>
                <w:lang w:bidi="he-IL"/>
              </w:rPr>
              <w:t xml:space="preserve">Ms. Orbea explained that the original TF proposal of a three-year cooling-off period did consider that all KAPs have a role in decision-making. However, the TF considered </w:t>
            </w:r>
            <w:r w:rsidR="009E5BFC">
              <w:rPr>
                <w:rFonts w:ascii="Arial" w:eastAsia="Times New Roman" w:hAnsi="Arial" w:cs="Arial"/>
                <w:kern w:val="8"/>
                <w:sz w:val="20"/>
                <w:szCs w:val="20"/>
                <w:lang w:bidi="he-IL"/>
              </w:rPr>
              <w:t>if a</w:t>
            </w:r>
            <w:r w:rsidRPr="006B026A">
              <w:rPr>
                <w:rFonts w:ascii="Arial" w:eastAsia="Times New Roman" w:hAnsi="Arial" w:cs="Arial"/>
                <w:kern w:val="8"/>
                <w:sz w:val="20"/>
                <w:szCs w:val="20"/>
                <w:lang w:bidi="he-IL"/>
              </w:rPr>
              <w:t xml:space="preserve"> five-year cooling-off period </w:t>
            </w:r>
            <w:r w:rsidR="009E5BFC">
              <w:rPr>
                <w:rFonts w:ascii="Arial" w:eastAsia="Times New Roman" w:hAnsi="Arial" w:cs="Arial"/>
                <w:kern w:val="8"/>
                <w:sz w:val="20"/>
                <w:szCs w:val="20"/>
                <w:lang w:bidi="he-IL"/>
              </w:rPr>
              <w:t xml:space="preserve">was applied then it would be too extreme for it to apply to </w:t>
            </w:r>
            <w:r w:rsidRPr="006B026A">
              <w:rPr>
                <w:rFonts w:ascii="Arial" w:eastAsia="Times New Roman" w:hAnsi="Arial" w:cs="Arial"/>
                <w:kern w:val="8"/>
                <w:sz w:val="20"/>
                <w:szCs w:val="20"/>
                <w:lang w:bidi="he-IL"/>
              </w:rPr>
              <w:t>all KAPS. As a bifurcation of cooling-off periods for LAEPs and EQCRs does exist in a number of jurisdictions, the TF aimed to reflect this situation in the revised proposal.</w:t>
            </w:r>
          </w:p>
        </w:tc>
      </w:tr>
      <w:tr w:rsidR="00D05827" w:rsidRPr="00DA1CE1" w14:paraId="5A72E894" w14:textId="77777777" w:rsidTr="002305C9">
        <w:tc>
          <w:tcPr>
            <w:tcW w:w="4788" w:type="dxa"/>
          </w:tcPr>
          <w:p w14:paraId="325560C1" w14:textId="77777777" w:rsidR="00D05827" w:rsidRPr="0014161A" w:rsidRDefault="00CE69B7" w:rsidP="000435D3">
            <w:pPr>
              <w:spacing w:before="120" w:after="120" w:line="280" w:lineRule="exact"/>
              <w:jc w:val="both"/>
              <w:rPr>
                <w:rFonts w:ascii="Arial" w:eastAsia="Times New Roman" w:hAnsi="Arial" w:cs="Arial"/>
                <w:noProof/>
                <w:sz w:val="20"/>
                <w:szCs w:val="20"/>
              </w:rPr>
            </w:pPr>
            <w:r>
              <w:rPr>
                <w:rFonts w:ascii="Arial" w:hAnsi="Arial" w:cs="Arial"/>
                <w:kern w:val="8"/>
                <w:sz w:val="20"/>
                <w:szCs w:val="20"/>
                <w:lang w:bidi="he-IL"/>
              </w:rPr>
              <w:t xml:space="preserve">Mr. </w:t>
            </w:r>
            <w:proofErr w:type="spellStart"/>
            <w:r>
              <w:rPr>
                <w:rFonts w:ascii="Arial" w:hAnsi="Arial" w:cs="Arial"/>
                <w:kern w:val="8"/>
                <w:sz w:val="20"/>
                <w:szCs w:val="20"/>
                <w:lang w:bidi="he-IL"/>
              </w:rPr>
              <w:t>Dalkin</w:t>
            </w:r>
            <w:proofErr w:type="spellEnd"/>
            <w:r>
              <w:rPr>
                <w:rFonts w:ascii="Arial" w:hAnsi="Arial" w:cs="Arial"/>
                <w:kern w:val="8"/>
                <w:sz w:val="20"/>
                <w:szCs w:val="20"/>
                <w:lang w:bidi="he-IL"/>
              </w:rPr>
              <w:t xml:space="preserve"> asked whether audits of governmental agencies were exempted from the rotation requirements.</w:t>
            </w:r>
          </w:p>
        </w:tc>
        <w:tc>
          <w:tcPr>
            <w:tcW w:w="4788" w:type="dxa"/>
          </w:tcPr>
          <w:p w14:paraId="106DAC2D" w14:textId="77777777" w:rsidR="00D05827" w:rsidRPr="0014161A" w:rsidRDefault="00CE69B7" w:rsidP="00BF6CAF">
            <w:pPr>
              <w:spacing w:before="120" w:after="120" w:line="280" w:lineRule="exact"/>
              <w:jc w:val="both"/>
              <w:rPr>
                <w:rFonts w:ascii="Arial" w:eastAsia="Times New Roman" w:hAnsi="Arial" w:cs="Arial"/>
                <w:noProof/>
                <w:sz w:val="20"/>
                <w:szCs w:val="20"/>
              </w:rPr>
            </w:pPr>
            <w:r w:rsidRPr="00CE69B7">
              <w:rPr>
                <w:rFonts w:ascii="Arial" w:eastAsia="Times New Roman" w:hAnsi="Arial" w:cs="Arial"/>
                <w:kern w:val="8"/>
                <w:sz w:val="20"/>
                <w:szCs w:val="20"/>
                <w:lang w:bidi="he-IL"/>
              </w:rPr>
              <w:t xml:space="preserve">Ms. Orbea confirmed that the rotation requirements </w:t>
            </w:r>
            <w:r w:rsidR="00BF6CAF">
              <w:rPr>
                <w:rFonts w:ascii="Arial" w:eastAsia="Times New Roman" w:hAnsi="Arial" w:cs="Arial"/>
                <w:kern w:val="8"/>
                <w:sz w:val="20"/>
                <w:szCs w:val="20"/>
                <w:lang w:bidi="he-IL"/>
              </w:rPr>
              <w:t xml:space="preserve">currently </w:t>
            </w:r>
            <w:r w:rsidRPr="00CE69B7">
              <w:rPr>
                <w:rFonts w:ascii="Arial" w:eastAsia="Times New Roman" w:hAnsi="Arial" w:cs="Arial"/>
                <w:kern w:val="8"/>
                <w:sz w:val="20"/>
                <w:szCs w:val="20"/>
                <w:lang w:bidi="he-IL"/>
              </w:rPr>
              <w:t xml:space="preserve">apply to KAPs on audits of PIEs. </w:t>
            </w:r>
            <w:r w:rsidR="00BF6CAF">
              <w:rPr>
                <w:rFonts w:ascii="Arial" w:eastAsia="Times New Roman" w:hAnsi="Arial" w:cs="Arial"/>
                <w:kern w:val="8"/>
                <w:sz w:val="20"/>
                <w:szCs w:val="20"/>
                <w:lang w:bidi="he-IL"/>
              </w:rPr>
              <w:t xml:space="preserve">A government agency may be defined as a PIE in a jurisdiction. </w:t>
            </w:r>
            <w:r w:rsidRPr="00CE69B7">
              <w:rPr>
                <w:rFonts w:ascii="Arial" w:eastAsia="Times New Roman" w:hAnsi="Arial" w:cs="Arial"/>
                <w:kern w:val="8"/>
                <w:sz w:val="20"/>
                <w:szCs w:val="20"/>
                <w:lang w:bidi="he-IL"/>
              </w:rPr>
              <w:t>She added that the Code does not override legal requirements.</w:t>
            </w:r>
          </w:p>
        </w:tc>
      </w:tr>
      <w:tr w:rsidR="000435D3" w:rsidRPr="00DA1CE1" w14:paraId="6643CA87" w14:textId="77777777" w:rsidTr="002305C9">
        <w:tc>
          <w:tcPr>
            <w:tcW w:w="4788" w:type="dxa"/>
          </w:tcPr>
          <w:p w14:paraId="05515262" w14:textId="77777777" w:rsidR="000435D3" w:rsidRPr="0014161A" w:rsidRDefault="00CE69B7" w:rsidP="000F42C1">
            <w:pPr>
              <w:spacing w:before="120" w:after="120" w:line="280" w:lineRule="exact"/>
              <w:jc w:val="both"/>
              <w:rPr>
                <w:rFonts w:ascii="Arial" w:hAnsi="Arial" w:cs="Arial"/>
                <w:sz w:val="20"/>
                <w:szCs w:val="20"/>
              </w:rPr>
            </w:pPr>
            <w:r w:rsidRPr="00CE69B7">
              <w:rPr>
                <w:rFonts w:ascii="Arial" w:eastAsia="Times New Roman" w:hAnsi="Arial" w:cs="Arial"/>
                <w:kern w:val="8"/>
                <w:sz w:val="20"/>
                <w:szCs w:val="20"/>
                <w:lang w:bidi="he-IL"/>
              </w:rPr>
              <w:t xml:space="preserve">Ms. </w:t>
            </w:r>
            <w:proofErr w:type="spellStart"/>
            <w:r w:rsidRPr="00CE69B7">
              <w:rPr>
                <w:rFonts w:ascii="Arial" w:eastAsia="Times New Roman" w:hAnsi="Arial" w:cs="Arial"/>
                <w:kern w:val="8"/>
                <w:sz w:val="20"/>
                <w:szCs w:val="20"/>
                <w:lang w:bidi="he-IL"/>
              </w:rPr>
              <w:t>Blomme</w:t>
            </w:r>
            <w:proofErr w:type="spellEnd"/>
            <w:r w:rsidRPr="00CE69B7">
              <w:rPr>
                <w:rFonts w:ascii="Arial" w:eastAsia="Times New Roman" w:hAnsi="Arial" w:cs="Arial"/>
                <w:kern w:val="8"/>
                <w:sz w:val="20"/>
                <w:szCs w:val="20"/>
                <w:lang w:bidi="he-IL"/>
              </w:rPr>
              <w:t xml:space="preserve"> summarized the new EU mandatory firm rotation requirements. She expressed the view that setting mandatory rotation requirements for KAPs globally presented a difficult challenge as in some jurisdictions, these must be overlaid with mandatory firm rotation. She noted that countries currently operating with bifurcated KAP rotation requirements did not have mandatory firm rotation. She expressed the view that from the point of view of the European Union, a simple uniform rotation requirement would be preferable to a bifurcation.</w:t>
            </w:r>
          </w:p>
        </w:tc>
        <w:tc>
          <w:tcPr>
            <w:tcW w:w="4788" w:type="dxa"/>
          </w:tcPr>
          <w:p w14:paraId="1BD21A33" w14:textId="77777777" w:rsidR="000435D3" w:rsidRDefault="00E96982" w:rsidP="007B5EA7">
            <w:pPr>
              <w:spacing w:before="120" w:after="120" w:line="280" w:lineRule="exact"/>
              <w:jc w:val="both"/>
              <w:rPr>
                <w:rFonts w:ascii="Arial" w:eastAsia="Times New Roman" w:hAnsi="Arial" w:cs="Arial"/>
                <w:noProof/>
                <w:sz w:val="20"/>
                <w:szCs w:val="20"/>
              </w:rPr>
            </w:pPr>
            <w:r>
              <w:rPr>
                <w:rFonts w:ascii="Arial" w:eastAsia="Times New Roman" w:hAnsi="Arial" w:cs="Arial"/>
                <w:noProof/>
                <w:sz w:val="20"/>
                <w:szCs w:val="20"/>
              </w:rPr>
              <w:t>The point was considered by the Board but on balance the Board felt that it was outwieghed by the issues surrounding perception of a lack of independence</w:t>
            </w:r>
            <w:r w:rsidR="007B5EA7">
              <w:rPr>
                <w:rFonts w:ascii="Arial" w:eastAsia="Times New Roman" w:hAnsi="Arial" w:cs="Arial"/>
                <w:noProof/>
                <w:sz w:val="20"/>
                <w:szCs w:val="20"/>
              </w:rPr>
              <w:t xml:space="preserve"> and accordingly a longer period off the engagement </w:t>
            </w:r>
            <w:r w:rsidR="00BF6CAF">
              <w:rPr>
                <w:rFonts w:ascii="Arial" w:eastAsia="Times New Roman" w:hAnsi="Arial" w:cs="Arial"/>
                <w:noProof/>
                <w:sz w:val="20"/>
                <w:szCs w:val="20"/>
              </w:rPr>
              <w:t xml:space="preserve">by the LAEP </w:t>
            </w:r>
            <w:r w:rsidR="007B5EA7">
              <w:rPr>
                <w:rFonts w:ascii="Arial" w:eastAsia="Times New Roman" w:hAnsi="Arial" w:cs="Arial"/>
                <w:noProof/>
                <w:sz w:val="20"/>
                <w:szCs w:val="20"/>
              </w:rPr>
              <w:t>was more appropriate.</w:t>
            </w:r>
          </w:p>
        </w:tc>
      </w:tr>
      <w:tr w:rsidR="008042F1" w:rsidRPr="00DA1CE1" w14:paraId="6D3A2709" w14:textId="77777777" w:rsidTr="002305C9">
        <w:tc>
          <w:tcPr>
            <w:tcW w:w="4788" w:type="dxa"/>
          </w:tcPr>
          <w:p w14:paraId="51BD7921" w14:textId="77777777" w:rsidR="008042F1" w:rsidRPr="00E7354B" w:rsidRDefault="00CE69B7" w:rsidP="00F55D8D">
            <w:pPr>
              <w:spacing w:before="120" w:after="120" w:line="280" w:lineRule="exact"/>
              <w:jc w:val="both"/>
              <w:rPr>
                <w:rFonts w:ascii="Arial" w:hAnsi="Arial" w:cs="Arial"/>
                <w:sz w:val="20"/>
                <w:szCs w:val="20"/>
              </w:rPr>
            </w:pPr>
            <w:r w:rsidRPr="00CE69B7">
              <w:rPr>
                <w:rFonts w:ascii="Arial" w:eastAsia="Times New Roman" w:hAnsi="Arial" w:cs="Arial"/>
                <w:kern w:val="8"/>
                <w:sz w:val="20"/>
                <w:szCs w:val="20"/>
                <w:lang w:bidi="he-IL"/>
              </w:rPr>
              <w:t xml:space="preserve">Mr. Koktvedgaard asked whether the TF had, in its deliberations, considered how mandatory firm </w:t>
            </w:r>
            <w:r w:rsidRPr="00CE69B7">
              <w:rPr>
                <w:rFonts w:ascii="Arial" w:eastAsia="Times New Roman" w:hAnsi="Arial" w:cs="Arial"/>
                <w:kern w:val="8"/>
                <w:sz w:val="20"/>
                <w:szCs w:val="20"/>
                <w:lang w:bidi="he-IL"/>
              </w:rPr>
              <w:lastRenderedPageBreak/>
              <w:t xml:space="preserve">rotation might affect the proposed revised cooling-off period. </w:t>
            </w:r>
          </w:p>
        </w:tc>
        <w:tc>
          <w:tcPr>
            <w:tcW w:w="4788" w:type="dxa"/>
          </w:tcPr>
          <w:p w14:paraId="6CDCC9E4" w14:textId="77777777" w:rsidR="008042F1" w:rsidRPr="00DA1CE1" w:rsidRDefault="00F55D8D" w:rsidP="00BF6CAF">
            <w:pPr>
              <w:spacing w:before="120" w:after="120" w:line="280" w:lineRule="exact"/>
              <w:jc w:val="both"/>
              <w:rPr>
                <w:rFonts w:ascii="Arial" w:hAnsi="Arial" w:cs="Arial"/>
                <w:sz w:val="20"/>
                <w:szCs w:val="20"/>
              </w:rPr>
            </w:pPr>
            <w:r w:rsidRPr="00CE69B7">
              <w:rPr>
                <w:rFonts w:ascii="Arial" w:eastAsia="Times New Roman" w:hAnsi="Arial" w:cs="Arial"/>
                <w:kern w:val="8"/>
                <w:sz w:val="20"/>
                <w:szCs w:val="20"/>
                <w:lang w:bidi="he-IL"/>
              </w:rPr>
              <w:lastRenderedPageBreak/>
              <w:t xml:space="preserve">Ms. Orbea indicated that mandatory firm rotation had been considered by the TF. Certain </w:t>
            </w:r>
            <w:r w:rsidRPr="00CE69B7">
              <w:rPr>
                <w:rFonts w:ascii="Arial" w:eastAsia="Times New Roman" w:hAnsi="Arial" w:cs="Arial"/>
                <w:kern w:val="8"/>
                <w:sz w:val="20"/>
                <w:szCs w:val="20"/>
                <w:lang w:bidi="he-IL"/>
              </w:rPr>
              <w:lastRenderedPageBreak/>
              <w:t xml:space="preserve">jurisdictions had very short firm rotation requirements that essentially negated the need for partner rotation.  With longer firm rotation requirements, the mandatory firm rotation would need to be overlaid with the partner rotation requirements. The TF therefore considered that a revised proposal would </w:t>
            </w:r>
            <w:r w:rsidR="00BF6CAF">
              <w:rPr>
                <w:rFonts w:ascii="Arial" w:eastAsia="Times New Roman" w:hAnsi="Arial" w:cs="Arial"/>
                <w:kern w:val="8"/>
                <w:sz w:val="20"/>
                <w:szCs w:val="20"/>
                <w:lang w:bidi="he-IL"/>
              </w:rPr>
              <w:t xml:space="preserve">still </w:t>
            </w:r>
            <w:r w:rsidRPr="00CE69B7">
              <w:rPr>
                <w:rFonts w:ascii="Arial" w:eastAsia="Times New Roman" w:hAnsi="Arial" w:cs="Arial"/>
                <w:kern w:val="8"/>
                <w:sz w:val="20"/>
                <w:szCs w:val="20"/>
                <w:lang w:bidi="he-IL"/>
              </w:rPr>
              <w:t xml:space="preserve">need to take into </w:t>
            </w:r>
            <w:r w:rsidR="00F4118E">
              <w:rPr>
                <w:rFonts w:ascii="Arial" w:eastAsia="Times New Roman" w:hAnsi="Arial" w:cs="Arial"/>
                <w:kern w:val="8"/>
                <w:sz w:val="20"/>
                <w:szCs w:val="20"/>
                <w:lang w:bidi="he-IL"/>
              </w:rPr>
              <w:t xml:space="preserve">account </w:t>
            </w:r>
            <w:r w:rsidRPr="00CE69B7">
              <w:rPr>
                <w:rFonts w:ascii="Arial" w:eastAsia="Times New Roman" w:hAnsi="Arial" w:cs="Arial"/>
                <w:kern w:val="8"/>
                <w:sz w:val="20"/>
                <w:szCs w:val="20"/>
                <w:lang w:bidi="he-IL"/>
              </w:rPr>
              <w:t>the need to ensure that a new partner is in place for a sufficient amount of time to provide a fresh look to the audit</w:t>
            </w:r>
            <w:r w:rsidR="00BF6CAF">
              <w:rPr>
                <w:rFonts w:ascii="Arial" w:eastAsia="Times New Roman" w:hAnsi="Arial" w:cs="Arial"/>
                <w:kern w:val="8"/>
                <w:sz w:val="20"/>
                <w:szCs w:val="20"/>
                <w:lang w:bidi="he-IL"/>
              </w:rPr>
              <w:t>, even in some cases where there is firm rotation</w:t>
            </w:r>
            <w:r>
              <w:rPr>
                <w:rFonts w:ascii="Arial" w:eastAsia="Times New Roman" w:hAnsi="Arial" w:cs="Arial"/>
                <w:kern w:val="8"/>
                <w:sz w:val="20"/>
                <w:szCs w:val="20"/>
                <w:lang w:bidi="he-IL"/>
              </w:rPr>
              <w:t>.</w:t>
            </w:r>
          </w:p>
        </w:tc>
      </w:tr>
      <w:tr w:rsidR="008042F1" w:rsidRPr="00DA1CE1" w14:paraId="5AF36838" w14:textId="77777777" w:rsidTr="00F36A53">
        <w:tc>
          <w:tcPr>
            <w:tcW w:w="9576" w:type="dxa"/>
            <w:gridSpan w:val="2"/>
          </w:tcPr>
          <w:p w14:paraId="6AF8842B" w14:textId="77777777" w:rsidR="008042F1" w:rsidRPr="00381355" w:rsidRDefault="00A51A71" w:rsidP="00E927D9">
            <w:pPr>
              <w:spacing w:before="120" w:after="120" w:line="280" w:lineRule="exact"/>
              <w:jc w:val="center"/>
              <w:rPr>
                <w:rFonts w:ascii="Arial" w:hAnsi="Arial" w:cs="Arial"/>
                <w:b/>
                <w:sz w:val="20"/>
                <w:szCs w:val="20"/>
              </w:rPr>
            </w:pPr>
            <w:r w:rsidRPr="00381355">
              <w:rPr>
                <w:rFonts w:ascii="Arial" w:eastAsia="Times New Roman" w:hAnsi="Arial" w:cs="Arial"/>
                <w:smallCaps/>
                <w:sz w:val="20"/>
                <w:szCs w:val="20"/>
              </w:rPr>
              <w:lastRenderedPageBreak/>
              <w:t>Permissible Activities</w:t>
            </w:r>
          </w:p>
        </w:tc>
      </w:tr>
      <w:tr w:rsidR="008042F1" w:rsidRPr="00DA1CE1" w14:paraId="6D348119" w14:textId="77777777" w:rsidTr="002305C9">
        <w:tc>
          <w:tcPr>
            <w:tcW w:w="4788" w:type="dxa"/>
          </w:tcPr>
          <w:p w14:paraId="46F21D43" w14:textId="77777777" w:rsidR="008042F1" w:rsidRPr="00E7354B" w:rsidRDefault="00A51A71" w:rsidP="00A1260E">
            <w:pPr>
              <w:spacing w:before="120" w:after="120" w:line="280" w:lineRule="exact"/>
              <w:jc w:val="both"/>
              <w:rPr>
                <w:rFonts w:ascii="Arial" w:hAnsi="Arial" w:cs="Arial"/>
                <w:sz w:val="20"/>
                <w:szCs w:val="20"/>
              </w:rPr>
            </w:pPr>
            <w:r w:rsidRPr="00A51A71">
              <w:rPr>
                <w:rFonts w:ascii="Arial" w:eastAsia="Times New Roman" w:hAnsi="Arial" w:cs="Arial"/>
                <w:kern w:val="8"/>
                <w:sz w:val="20"/>
                <w:szCs w:val="20"/>
                <w:lang w:bidi="he-IL"/>
              </w:rPr>
              <w:t xml:space="preserve">Ms. </w:t>
            </w:r>
            <w:proofErr w:type="spellStart"/>
            <w:r w:rsidRPr="00A51A71">
              <w:rPr>
                <w:rFonts w:ascii="Arial" w:eastAsia="Times New Roman" w:hAnsi="Arial" w:cs="Arial"/>
                <w:kern w:val="8"/>
                <w:sz w:val="20"/>
                <w:szCs w:val="20"/>
                <w:lang w:bidi="he-IL"/>
              </w:rPr>
              <w:t>Blomme</w:t>
            </w:r>
            <w:proofErr w:type="spellEnd"/>
            <w:r w:rsidRPr="00A51A71">
              <w:rPr>
                <w:rFonts w:ascii="Arial" w:eastAsia="Times New Roman" w:hAnsi="Arial" w:cs="Arial"/>
                <w:kern w:val="8"/>
                <w:sz w:val="20"/>
                <w:szCs w:val="20"/>
                <w:lang w:bidi="he-IL"/>
              </w:rPr>
              <w:t xml:space="preserve"> was of the view that, with a five-year cooling-off period, restrictions on permissible activities should not be relaxed part way through the cooling-off period.</w:t>
            </w:r>
          </w:p>
        </w:tc>
        <w:tc>
          <w:tcPr>
            <w:tcW w:w="4788" w:type="dxa"/>
          </w:tcPr>
          <w:p w14:paraId="515962EA" w14:textId="77777777" w:rsidR="008042F1" w:rsidRPr="00DA1CE1" w:rsidRDefault="007B5EA7" w:rsidP="00BF6CAF">
            <w:pPr>
              <w:spacing w:before="120" w:after="120" w:line="280" w:lineRule="exact"/>
              <w:jc w:val="both"/>
              <w:rPr>
                <w:rFonts w:ascii="Arial" w:hAnsi="Arial" w:cs="Arial"/>
                <w:sz w:val="20"/>
                <w:szCs w:val="20"/>
              </w:rPr>
            </w:pPr>
            <w:r>
              <w:rPr>
                <w:rFonts w:ascii="Arial" w:hAnsi="Arial" w:cs="Arial"/>
                <w:sz w:val="20"/>
                <w:szCs w:val="20"/>
              </w:rPr>
              <w:t>This point was noted but on balance the Board f</w:t>
            </w:r>
            <w:r w:rsidR="0019374D">
              <w:rPr>
                <w:rFonts w:ascii="Arial" w:hAnsi="Arial" w:cs="Arial"/>
                <w:sz w:val="20"/>
                <w:szCs w:val="20"/>
              </w:rPr>
              <w:t>elt that the overall strengthening of Section 290 meant that it was appropriate to allow some latitude on this point</w:t>
            </w:r>
            <w:r w:rsidR="00BF6CAF">
              <w:rPr>
                <w:rFonts w:ascii="Arial" w:hAnsi="Arial" w:cs="Arial"/>
                <w:sz w:val="20"/>
                <w:szCs w:val="20"/>
              </w:rPr>
              <w:t>, given the limitations regarding specialist resources</w:t>
            </w:r>
            <w:r w:rsidR="0019374D">
              <w:rPr>
                <w:rFonts w:ascii="Arial" w:hAnsi="Arial" w:cs="Arial"/>
                <w:sz w:val="20"/>
                <w:szCs w:val="20"/>
              </w:rPr>
              <w:t>.</w:t>
            </w:r>
          </w:p>
        </w:tc>
      </w:tr>
      <w:tr w:rsidR="008042F1" w:rsidRPr="00DA1CE1" w14:paraId="05F0B1B4" w14:textId="77777777" w:rsidTr="00751990">
        <w:trPr>
          <w:trHeight w:val="1862"/>
        </w:trPr>
        <w:tc>
          <w:tcPr>
            <w:tcW w:w="4788" w:type="dxa"/>
          </w:tcPr>
          <w:p w14:paraId="124990F9" w14:textId="77777777" w:rsidR="008042F1" w:rsidRPr="00E7354B" w:rsidRDefault="00A51A71" w:rsidP="00751990">
            <w:pPr>
              <w:spacing w:before="120" w:after="120" w:line="280" w:lineRule="exact"/>
              <w:jc w:val="both"/>
              <w:rPr>
                <w:rFonts w:ascii="Arial" w:hAnsi="Arial" w:cs="Arial"/>
                <w:sz w:val="20"/>
                <w:szCs w:val="20"/>
              </w:rPr>
            </w:pPr>
            <w:r w:rsidRPr="00A51A71">
              <w:rPr>
                <w:rFonts w:ascii="Arial" w:eastAsia="Times New Roman" w:hAnsi="Arial" w:cs="Arial"/>
                <w:kern w:val="8"/>
                <w:sz w:val="20"/>
                <w:szCs w:val="20"/>
                <w:lang w:bidi="he-IL"/>
              </w:rPr>
              <w:t xml:space="preserve">Mr. Thompson noted that there could be situations where there would be benefit to the rotated partner being able to discuss matters with the new partner. He felt that a degree of interaction could be permissible as long as there would be no influence on the audit outcome. </w:t>
            </w:r>
          </w:p>
        </w:tc>
        <w:tc>
          <w:tcPr>
            <w:tcW w:w="4788" w:type="dxa"/>
          </w:tcPr>
          <w:p w14:paraId="2B4B61B9" w14:textId="77777777" w:rsidR="008042F1" w:rsidRPr="00DA1CE1" w:rsidRDefault="00751990" w:rsidP="00BF6CAF">
            <w:pPr>
              <w:spacing w:before="120" w:after="120" w:line="280" w:lineRule="exact"/>
              <w:jc w:val="both"/>
              <w:rPr>
                <w:rFonts w:ascii="Arial" w:hAnsi="Arial" w:cs="Arial"/>
                <w:sz w:val="20"/>
                <w:szCs w:val="20"/>
              </w:rPr>
            </w:pPr>
            <w:r w:rsidRPr="00A51A71">
              <w:rPr>
                <w:rFonts w:ascii="Arial" w:eastAsia="Times New Roman" w:hAnsi="Arial" w:cs="Arial"/>
                <w:kern w:val="8"/>
                <w:sz w:val="20"/>
                <w:szCs w:val="20"/>
                <w:lang w:bidi="he-IL"/>
              </w:rPr>
              <w:t>Ms. Orbea noted that the TF had given consideration to situations when interaction between the rotated and the incoming KAP could be beneficial. Revised wording in paragraph 290.150 reflected this.</w:t>
            </w:r>
          </w:p>
        </w:tc>
      </w:tr>
      <w:tr w:rsidR="008042F1" w:rsidRPr="00DA1CE1" w14:paraId="6893C9B6" w14:textId="77777777" w:rsidTr="002305C9">
        <w:tc>
          <w:tcPr>
            <w:tcW w:w="4788" w:type="dxa"/>
          </w:tcPr>
          <w:p w14:paraId="7DDE0268" w14:textId="77777777" w:rsidR="008042F1" w:rsidRPr="00E7354B" w:rsidRDefault="00A51A71" w:rsidP="00A1260E">
            <w:pPr>
              <w:spacing w:before="120" w:after="120" w:line="280" w:lineRule="exact"/>
              <w:jc w:val="both"/>
              <w:rPr>
                <w:rFonts w:ascii="Arial" w:hAnsi="Arial" w:cs="Arial"/>
                <w:sz w:val="20"/>
                <w:szCs w:val="20"/>
              </w:rPr>
            </w:pPr>
            <w:r w:rsidRPr="00A51A71">
              <w:rPr>
                <w:rFonts w:ascii="Arial" w:eastAsia="Times New Roman" w:hAnsi="Arial" w:cs="Arial"/>
                <w:kern w:val="8"/>
                <w:sz w:val="20"/>
                <w:szCs w:val="20"/>
                <w:lang w:bidi="he-IL"/>
              </w:rPr>
              <w:t xml:space="preserve">Mr. James felt that there was a need to define certain words used, notably “limited” as related to “limited discussion” and “directly” as related to “directly influence.” He added that the objective of the cooling-off period should be taken into account when considering which activities should be permissible during cooling-off. </w:t>
            </w:r>
          </w:p>
        </w:tc>
        <w:tc>
          <w:tcPr>
            <w:tcW w:w="4788" w:type="dxa"/>
          </w:tcPr>
          <w:p w14:paraId="490F3C94" w14:textId="77777777" w:rsidR="008042F1" w:rsidRPr="00DA1CE1" w:rsidRDefault="00183913" w:rsidP="00D34992">
            <w:pPr>
              <w:spacing w:before="120" w:after="120" w:line="280" w:lineRule="exact"/>
              <w:jc w:val="both"/>
              <w:rPr>
                <w:rFonts w:ascii="Arial" w:hAnsi="Arial" w:cs="Arial"/>
                <w:sz w:val="20"/>
                <w:szCs w:val="20"/>
              </w:rPr>
            </w:pPr>
            <w:r>
              <w:rPr>
                <w:rFonts w:ascii="Arial" w:hAnsi="Arial" w:cs="Arial"/>
                <w:sz w:val="20"/>
                <w:szCs w:val="20"/>
              </w:rPr>
              <w:t>Point noted and adjustments made to the proposed wording.</w:t>
            </w:r>
          </w:p>
        </w:tc>
      </w:tr>
      <w:tr w:rsidR="00A51A71" w:rsidRPr="00DA1CE1" w14:paraId="57C91ADC" w14:textId="77777777" w:rsidTr="002305C9">
        <w:tc>
          <w:tcPr>
            <w:tcW w:w="4788" w:type="dxa"/>
          </w:tcPr>
          <w:p w14:paraId="08AE440E" w14:textId="77777777" w:rsidR="00A51A71" w:rsidRPr="00E7354B" w:rsidRDefault="005D2CEC" w:rsidP="00A900A5">
            <w:pPr>
              <w:spacing w:before="120" w:after="120" w:line="280" w:lineRule="exact"/>
              <w:jc w:val="both"/>
              <w:rPr>
                <w:rFonts w:ascii="Arial" w:hAnsi="Arial" w:cs="Arial"/>
                <w:sz w:val="20"/>
                <w:szCs w:val="20"/>
              </w:rPr>
            </w:pPr>
            <w:r w:rsidRPr="005D2CEC">
              <w:rPr>
                <w:rFonts w:ascii="Arial" w:eastAsia="Times New Roman" w:hAnsi="Arial" w:cs="Arial"/>
                <w:kern w:val="8"/>
                <w:sz w:val="20"/>
                <w:szCs w:val="20"/>
                <w:lang w:bidi="he-IL"/>
              </w:rPr>
              <w:t>Mr. Waldron was of the view that consideration should be given to how interaction could take place between the rotated and incoming partner when deciding which activities are permissible. He pointed out that, in practice, it could be quite possible for the incoming partner to raise a question with the rotated partner as they walk past each other in the office.</w:t>
            </w:r>
          </w:p>
        </w:tc>
        <w:tc>
          <w:tcPr>
            <w:tcW w:w="4788" w:type="dxa"/>
          </w:tcPr>
          <w:p w14:paraId="20758702" w14:textId="77777777" w:rsidR="00A51A71" w:rsidRPr="00DA1CE1" w:rsidRDefault="00183913" w:rsidP="00D34992">
            <w:pPr>
              <w:spacing w:before="120" w:after="120" w:line="280" w:lineRule="exact"/>
              <w:jc w:val="both"/>
              <w:rPr>
                <w:rFonts w:ascii="Arial" w:hAnsi="Arial" w:cs="Arial"/>
                <w:sz w:val="20"/>
                <w:szCs w:val="20"/>
              </w:rPr>
            </w:pPr>
            <w:r>
              <w:rPr>
                <w:rFonts w:ascii="Arial" w:hAnsi="Arial" w:cs="Arial"/>
                <w:sz w:val="20"/>
                <w:szCs w:val="20"/>
              </w:rPr>
              <w:t>Point noted and adjustments made to the proposed wording.</w:t>
            </w:r>
          </w:p>
        </w:tc>
      </w:tr>
      <w:tr w:rsidR="00A51A71" w:rsidRPr="00DA1CE1" w14:paraId="7B048DFE" w14:textId="77777777" w:rsidTr="002305C9">
        <w:tc>
          <w:tcPr>
            <w:tcW w:w="4788" w:type="dxa"/>
          </w:tcPr>
          <w:p w14:paraId="59186088" w14:textId="77777777" w:rsidR="00A51A71" w:rsidRPr="00E7354B" w:rsidRDefault="005D2CEC" w:rsidP="00A900A5">
            <w:pPr>
              <w:spacing w:before="120" w:after="120" w:line="280" w:lineRule="exact"/>
              <w:jc w:val="both"/>
              <w:rPr>
                <w:rFonts w:ascii="Arial" w:hAnsi="Arial" w:cs="Arial"/>
                <w:sz w:val="20"/>
                <w:szCs w:val="20"/>
              </w:rPr>
            </w:pPr>
            <w:r w:rsidRPr="005D2CEC">
              <w:rPr>
                <w:rFonts w:ascii="Arial" w:eastAsia="Times New Roman" w:hAnsi="Arial" w:cs="Arial"/>
                <w:kern w:val="8"/>
                <w:sz w:val="20"/>
                <w:szCs w:val="20"/>
                <w:lang w:bidi="he-IL"/>
              </w:rPr>
              <w:t xml:space="preserve">Mr. Baumann agreed that the rotated partner should not be able to influence the audit outcome. </w:t>
            </w:r>
            <w:r w:rsidRPr="005D2CEC">
              <w:rPr>
                <w:rFonts w:ascii="Arial" w:eastAsia="Times New Roman" w:hAnsi="Arial" w:cs="Arial"/>
                <w:kern w:val="8"/>
                <w:sz w:val="20"/>
                <w:szCs w:val="20"/>
                <w:lang w:bidi="he-IL"/>
              </w:rPr>
              <w:lastRenderedPageBreak/>
              <w:t>However, he noted that there could be situations where the LAEP rotates off an audit and takes a key responsibility for industry practice within the audit firm. He felt that it could be impractical to prevent any interaction in this situation and doing so could adversely impact audit quality. Hence, he sympathized with many of the comments made.</w:t>
            </w:r>
          </w:p>
        </w:tc>
        <w:tc>
          <w:tcPr>
            <w:tcW w:w="4788" w:type="dxa"/>
          </w:tcPr>
          <w:p w14:paraId="173C2FDA" w14:textId="77777777" w:rsidR="00A51A71" w:rsidRPr="00DA1CE1" w:rsidRDefault="008546D8" w:rsidP="00D34992">
            <w:pPr>
              <w:spacing w:before="120" w:after="120" w:line="280" w:lineRule="exact"/>
              <w:jc w:val="both"/>
              <w:rPr>
                <w:rFonts w:ascii="Arial" w:hAnsi="Arial" w:cs="Arial"/>
                <w:sz w:val="20"/>
                <w:szCs w:val="20"/>
              </w:rPr>
            </w:pPr>
            <w:r>
              <w:rPr>
                <w:rFonts w:ascii="Arial" w:hAnsi="Arial" w:cs="Arial"/>
                <w:sz w:val="20"/>
                <w:szCs w:val="20"/>
              </w:rPr>
              <w:lastRenderedPageBreak/>
              <w:t>Point noted and adjustments made to the wording.</w:t>
            </w:r>
          </w:p>
        </w:tc>
      </w:tr>
      <w:tr w:rsidR="00A51A71" w:rsidRPr="00DA1CE1" w14:paraId="558440AE" w14:textId="77777777" w:rsidTr="00BF66FE">
        <w:trPr>
          <w:trHeight w:val="1232"/>
        </w:trPr>
        <w:tc>
          <w:tcPr>
            <w:tcW w:w="4788" w:type="dxa"/>
          </w:tcPr>
          <w:p w14:paraId="78C83445" w14:textId="77777777" w:rsidR="00A51A71" w:rsidRPr="00E7354B" w:rsidRDefault="005D2CEC" w:rsidP="00A900A5">
            <w:pPr>
              <w:spacing w:before="120" w:after="120" w:line="280" w:lineRule="exact"/>
              <w:jc w:val="both"/>
              <w:rPr>
                <w:rFonts w:ascii="Arial" w:hAnsi="Arial" w:cs="Arial"/>
                <w:sz w:val="20"/>
                <w:szCs w:val="20"/>
              </w:rPr>
            </w:pPr>
            <w:r w:rsidRPr="005D2CEC">
              <w:rPr>
                <w:rFonts w:ascii="Arial" w:eastAsia="Times New Roman" w:hAnsi="Arial" w:cs="Arial"/>
                <w:kern w:val="8"/>
                <w:sz w:val="20"/>
                <w:szCs w:val="20"/>
                <w:lang w:bidi="he-IL"/>
              </w:rPr>
              <w:lastRenderedPageBreak/>
              <w:t xml:space="preserve">As Mr. </w:t>
            </w:r>
            <w:proofErr w:type="spellStart"/>
            <w:r w:rsidRPr="005D2CEC">
              <w:rPr>
                <w:rFonts w:ascii="Arial" w:eastAsia="Times New Roman" w:hAnsi="Arial" w:cs="Arial"/>
                <w:kern w:val="8"/>
                <w:sz w:val="20"/>
                <w:szCs w:val="20"/>
                <w:lang w:bidi="he-IL"/>
              </w:rPr>
              <w:t>Koktvedgaard’s</w:t>
            </w:r>
            <w:proofErr w:type="spellEnd"/>
            <w:r w:rsidRPr="005D2CEC">
              <w:rPr>
                <w:rFonts w:ascii="Arial" w:eastAsia="Times New Roman" w:hAnsi="Arial" w:cs="Arial"/>
                <w:kern w:val="8"/>
                <w:sz w:val="20"/>
                <w:szCs w:val="20"/>
                <w:lang w:bidi="he-IL"/>
              </w:rPr>
              <w:t xml:space="preserve"> invitation, Ms. </w:t>
            </w:r>
            <w:proofErr w:type="spellStart"/>
            <w:r w:rsidRPr="005D2CEC">
              <w:rPr>
                <w:rFonts w:ascii="Arial" w:eastAsia="Times New Roman" w:hAnsi="Arial" w:cs="Arial"/>
                <w:kern w:val="8"/>
                <w:sz w:val="20"/>
                <w:szCs w:val="20"/>
                <w:lang w:bidi="he-IL"/>
              </w:rPr>
              <w:t>Blomme</w:t>
            </w:r>
            <w:proofErr w:type="spellEnd"/>
            <w:r w:rsidRPr="005D2CEC">
              <w:rPr>
                <w:rFonts w:ascii="Arial" w:eastAsia="Times New Roman" w:hAnsi="Arial" w:cs="Arial"/>
                <w:kern w:val="8"/>
                <w:sz w:val="20"/>
                <w:szCs w:val="20"/>
                <w:lang w:bidi="he-IL"/>
              </w:rPr>
              <w:t xml:space="preserve"> briefed Representatives on the key elements of the recently agreed audit reform regulatory package in the EU. </w:t>
            </w:r>
          </w:p>
        </w:tc>
        <w:tc>
          <w:tcPr>
            <w:tcW w:w="4788" w:type="dxa"/>
          </w:tcPr>
          <w:p w14:paraId="338A2398" w14:textId="77777777" w:rsidR="00A51A71" w:rsidRPr="00DA1CE1" w:rsidRDefault="007D0061" w:rsidP="00D34992">
            <w:pPr>
              <w:spacing w:before="120" w:after="120" w:line="280" w:lineRule="exact"/>
              <w:jc w:val="both"/>
              <w:rPr>
                <w:rFonts w:ascii="Arial" w:hAnsi="Arial" w:cs="Arial"/>
                <w:sz w:val="20"/>
                <w:szCs w:val="20"/>
              </w:rPr>
            </w:pPr>
            <w:r>
              <w:rPr>
                <w:rFonts w:ascii="Arial" w:hAnsi="Arial" w:cs="Arial"/>
                <w:sz w:val="20"/>
                <w:szCs w:val="20"/>
              </w:rPr>
              <w:t xml:space="preserve">The TF noted </w:t>
            </w:r>
            <w:r w:rsidR="00751990">
              <w:rPr>
                <w:rFonts w:ascii="Arial" w:hAnsi="Arial" w:cs="Arial"/>
                <w:sz w:val="20"/>
                <w:szCs w:val="20"/>
              </w:rPr>
              <w:t>the position in the EU</w:t>
            </w:r>
            <w:r w:rsidR="008546D8">
              <w:rPr>
                <w:rFonts w:ascii="Arial" w:hAnsi="Arial" w:cs="Arial"/>
                <w:sz w:val="20"/>
                <w:szCs w:val="20"/>
              </w:rPr>
              <w:t>.</w:t>
            </w:r>
          </w:p>
        </w:tc>
      </w:tr>
      <w:tr w:rsidR="00A7288D" w:rsidRPr="00DA1CE1" w14:paraId="4820B5C4" w14:textId="77777777" w:rsidTr="00F34C08">
        <w:tc>
          <w:tcPr>
            <w:tcW w:w="9576" w:type="dxa"/>
            <w:gridSpan w:val="2"/>
          </w:tcPr>
          <w:p w14:paraId="4DB23178" w14:textId="77777777" w:rsidR="00A7288D" w:rsidRPr="00BF66FE" w:rsidRDefault="008160A3" w:rsidP="00E927D9">
            <w:pPr>
              <w:spacing w:before="120" w:after="120" w:line="280" w:lineRule="exact"/>
              <w:jc w:val="center"/>
              <w:rPr>
                <w:rFonts w:ascii="Arial" w:hAnsi="Arial" w:cs="Arial"/>
                <w:b/>
                <w:sz w:val="18"/>
                <w:szCs w:val="18"/>
              </w:rPr>
            </w:pPr>
            <w:r w:rsidRPr="00BF66FE">
              <w:rPr>
                <w:rFonts w:ascii="Arial" w:eastAsia="Times New Roman" w:hAnsi="Arial" w:cs="Arial"/>
                <w:smallCaps/>
                <w:sz w:val="18"/>
                <w:szCs w:val="18"/>
              </w:rPr>
              <w:t>Strengthening The Framework Principles</w:t>
            </w:r>
          </w:p>
        </w:tc>
      </w:tr>
      <w:tr w:rsidR="00A7288D" w:rsidRPr="00DA1CE1" w14:paraId="261CF415" w14:textId="77777777" w:rsidTr="002305C9">
        <w:tc>
          <w:tcPr>
            <w:tcW w:w="4788" w:type="dxa"/>
          </w:tcPr>
          <w:p w14:paraId="29E9ECA2" w14:textId="77777777" w:rsidR="00A7288D" w:rsidRPr="0014161A" w:rsidRDefault="008160A3" w:rsidP="007D0061">
            <w:pPr>
              <w:spacing w:before="120" w:after="120" w:line="280" w:lineRule="exact"/>
              <w:jc w:val="both"/>
              <w:rPr>
                <w:rFonts w:ascii="Arial" w:hAnsi="Arial" w:cs="Arial"/>
                <w:sz w:val="20"/>
                <w:szCs w:val="20"/>
              </w:rPr>
            </w:pPr>
            <w:r w:rsidRPr="008160A3">
              <w:rPr>
                <w:rFonts w:ascii="Arial" w:eastAsia="Times New Roman" w:hAnsi="Arial" w:cs="Arial"/>
                <w:kern w:val="8"/>
                <w:sz w:val="20"/>
                <w:szCs w:val="20"/>
                <w:lang w:bidi="he-IL"/>
              </w:rPr>
              <w:t xml:space="preserve">Ms. </w:t>
            </w:r>
            <w:proofErr w:type="spellStart"/>
            <w:r w:rsidRPr="008160A3">
              <w:rPr>
                <w:rFonts w:ascii="Arial" w:eastAsia="Times New Roman" w:hAnsi="Arial" w:cs="Arial"/>
                <w:kern w:val="8"/>
                <w:sz w:val="20"/>
                <w:szCs w:val="20"/>
                <w:lang w:bidi="he-IL"/>
              </w:rPr>
              <w:t>Blomme</w:t>
            </w:r>
            <w:proofErr w:type="spellEnd"/>
            <w:r w:rsidRPr="008160A3">
              <w:rPr>
                <w:rFonts w:ascii="Arial" w:eastAsia="Times New Roman" w:hAnsi="Arial" w:cs="Arial"/>
                <w:kern w:val="8"/>
                <w:sz w:val="20"/>
                <w:szCs w:val="20"/>
                <w:lang w:bidi="he-IL"/>
              </w:rPr>
              <w:t xml:space="preserve"> noted that while mandatory partner rotation for audits of non-PIEs had been considered by the TF and deemed inappropriate, rotation now appeared to be suggested for such audits within the proposed revised wording. </w:t>
            </w:r>
          </w:p>
        </w:tc>
        <w:tc>
          <w:tcPr>
            <w:tcW w:w="4788" w:type="dxa"/>
          </w:tcPr>
          <w:p w14:paraId="0E27C0D2" w14:textId="77777777" w:rsidR="00A7288D" w:rsidRPr="0014161A" w:rsidRDefault="007D0061" w:rsidP="00CA2E52">
            <w:pPr>
              <w:spacing w:before="120" w:after="120" w:line="280" w:lineRule="exact"/>
              <w:jc w:val="both"/>
              <w:rPr>
                <w:rFonts w:ascii="Arial" w:hAnsi="Arial" w:cs="Arial"/>
                <w:sz w:val="20"/>
                <w:szCs w:val="20"/>
              </w:rPr>
            </w:pPr>
            <w:r w:rsidRPr="008160A3">
              <w:rPr>
                <w:rFonts w:ascii="Arial" w:eastAsia="Times New Roman" w:hAnsi="Arial" w:cs="Arial"/>
                <w:kern w:val="8"/>
                <w:sz w:val="20"/>
                <w:szCs w:val="20"/>
                <w:lang w:bidi="he-IL"/>
              </w:rPr>
              <w:t>Ms. Orbea responded by noting that this is intended to be guidance and not a requirement.</w:t>
            </w:r>
            <w:r w:rsidR="00BF6CAF">
              <w:rPr>
                <w:rFonts w:ascii="Arial" w:eastAsia="Times New Roman" w:hAnsi="Arial" w:cs="Arial"/>
                <w:kern w:val="8"/>
                <w:sz w:val="20"/>
                <w:szCs w:val="20"/>
                <w:lang w:bidi="he-IL"/>
              </w:rPr>
              <w:t xml:space="preserve"> Adjustments have been made to the wording. </w:t>
            </w:r>
          </w:p>
        </w:tc>
      </w:tr>
      <w:tr w:rsidR="000435D3" w:rsidRPr="00DA1CE1" w14:paraId="1D91BCF0" w14:textId="77777777" w:rsidTr="002305C9">
        <w:tc>
          <w:tcPr>
            <w:tcW w:w="4788" w:type="dxa"/>
          </w:tcPr>
          <w:p w14:paraId="3FCCA185" w14:textId="77777777" w:rsidR="000435D3" w:rsidRPr="0014161A" w:rsidRDefault="008160A3" w:rsidP="007D0061">
            <w:pPr>
              <w:spacing w:before="120" w:after="120" w:line="280" w:lineRule="exact"/>
              <w:jc w:val="both"/>
              <w:rPr>
                <w:rFonts w:ascii="Arial" w:hAnsi="Arial" w:cs="Arial"/>
                <w:sz w:val="20"/>
                <w:szCs w:val="20"/>
              </w:rPr>
            </w:pPr>
            <w:r w:rsidRPr="008160A3">
              <w:rPr>
                <w:rFonts w:ascii="Arial" w:eastAsia="Times New Roman" w:hAnsi="Arial" w:cs="Arial"/>
                <w:kern w:val="8"/>
                <w:sz w:val="20"/>
                <w:szCs w:val="20"/>
                <w:lang w:bidi="he-IL"/>
              </w:rPr>
              <w:t xml:space="preserve">Ms. de Beer expressed the view that the minimum rotation period of one year was too low, even if the decision to rotate was a voluntary one. Ms. Lang agreed with Ms. de Beer and felt that the proposed revised text appeared somewhat confusing. Noting that if any decision to rotate was voluntary, Ms. Lang wondered why a mandatory minimum period would be necessary. </w:t>
            </w:r>
          </w:p>
        </w:tc>
        <w:tc>
          <w:tcPr>
            <w:tcW w:w="4788" w:type="dxa"/>
          </w:tcPr>
          <w:p w14:paraId="285D47A1" w14:textId="77777777" w:rsidR="000435D3" w:rsidRDefault="007D0061" w:rsidP="00BF6CAF">
            <w:pPr>
              <w:spacing w:before="120" w:after="120" w:line="280" w:lineRule="exact"/>
              <w:jc w:val="both"/>
              <w:rPr>
                <w:rFonts w:ascii="Arial" w:hAnsi="Arial" w:cs="Arial"/>
                <w:sz w:val="20"/>
                <w:szCs w:val="20"/>
              </w:rPr>
            </w:pPr>
            <w:r w:rsidRPr="008160A3">
              <w:rPr>
                <w:rFonts w:ascii="Arial" w:eastAsia="Times New Roman" w:hAnsi="Arial" w:cs="Arial"/>
                <w:kern w:val="8"/>
                <w:sz w:val="20"/>
                <w:szCs w:val="20"/>
                <w:lang w:bidi="he-IL"/>
              </w:rPr>
              <w:t>Ms. Orbea explained the TF’s view that, should rotation be used as a safeguard, it would be beneficial to provide guidance on an appropriate minimum rotation period.</w:t>
            </w:r>
            <w:r w:rsidR="00BF6CAF">
              <w:rPr>
                <w:rFonts w:ascii="Arial" w:eastAsia="Times New Roman" w:hAnsi="Arial" w:cs="Arial"/>
                <w:kern w:val="8"/>
                <w:sz w:val="20"/>
                <w:szCs w:val="20"/>
                <w:lang w:bidi="he-IL"/>
              </w:rPr>
              <w:t xml:space="preserve"> The Board considered this point and the mandatory minimum period has been replaced with the requirement that the firm determine a period of “sufficient duration” to allow the threats to be eliminated or reduced to an acceptable level.  </w:t>
            </w:r>
          </w:p>
        </w:tc>
      </w:tr>
      <w:tr w:rsidR="00A7288D" w:rsidRPr="00DA1CE1" w14:paraId="6F089F9A" w14:textId="77777777" w:rsidTr="00A46825">
        <w:trPr>
          <w:trHeight w:val="3455"/>
        </w:trPr>
        <w:tc>
          <w:tcPr>
            <w:tcW w:w="4788" w:type="dxa"/>
          </w:tcPr>
          <w:p w14:paraId="7B0A07AB" w14:textId="77777777" w:rsidR="00A7288D" w:rsidRPr="0014161A" w:rsidRDefault="008160A3" w:rsidP="00A1260E">
            <w:pPr>
              <w:spacing w:before="120" w:after="120" w:line="280" w:lineRule="exact"/>
              <w:jc w:val="both"/>
              <w:rPr>
                <w:rFonts w:ascii="Arial" w:hAnsi="Arial" w:cs="Arial"/>
                <w:sz w:val="20"/>
                <w:szCs w:val="20"/>
              </w:rPr>
            </w:pPr>
            <w:r w:rsidRPr="008160A3">
              <w:rPr>
                <w:rFonts w:ascii="Arial" w:eastAsia="Times New Roman" w:hAnsi="Arial" w:cs="Arial"/>
                <w:kern w:val="8"/>
                <w:sz w:val="20"/>
                <w:szCs w:val="20"/>
                <w:lang w:bidi="he-IL"/>
              </w:rPr>
              <w:t>Mr. Fukushima expressed the view that as some of the safeguards being suggested would be required in most audit engagements, regardless of any long association concerns, they should not be considered incremental safeguards. He noted that this had been mentioned in IOSCO’s comment letter on the Board’s January 2013 strategy survey. He was of the view that some of the safeguards duplicated requirements of ISQC 1</w:t>
            </w:r>
            <w:r w:rsidRPr="008160A3">
              <w:rPr>
                <w:rFonts w:ascii="Arial" w:eastAsia="Times New Roman" w:hAnsi="Arial" w:cs="Arial"/>
                <w:kern w:val="8"/>
                <w:sz w:val="20"/>
                <w:szCs w:val="20"/>
                <w:vertAlign w:val="superscript"/>
                <w:lang w:bidi="he-IL"/>
              </w:rPr>
              <w:footnoteReference w:id="2"/>
            </w:r>
            <w:r w:rsidRPr="008160A3">
              <w:rPr>
                <w:rFonts w:ascii="Arial" w:eastAsia="Times New Roman" w:hAnsi="Arial" w:cs="Arial"/>
                <w:kern w:val="8"/>
                <w:sz w:val="20"/>
                <w:szCs w:val="20"/>
                <w:lang w:bidi="he-IL"/>
              </w:rPr>
              <w:t xml:space="preserve"> and suggested that the TF reconsider the nature of the safeguards as part of this project and not as part of a future project.</w:t>
            </w:r>
          </w:p>
        </w:tc>
        <w:tc>
          <w:tcPr>
            <w:tcW w:w="4788" w:type="dxa"/>
          </w:tcPr>
          <w:p w14:paraId="4AD52C13" w14:textId="77777777" w:rsidR="00A7288D" w:rsidRPr="0014161A" w:rsidRDefault="00C21501" w:rsidP="002917D9">
            <w:pPr>
              <w:spacing w:before="120" w:after="120" w:line="280" w:lineRule="exact"/>
              <w:jc w:val="both"/>
              <w:rPr>
                <w:rFonts w:ascii="Arial" w:hAnsi="Arial" w:cs="Arial"/>
                <w:sz w:val="20"/>
                <w:szCs w:val="20"/>
              </w:rPr>
            </w:pPr>
            <w:r>
              <w:rPr>
                <w:rFonts w:ascii="Arial" w:hAnsi="Arial" w:cs="Arial"/>
                <w:sz w:val="20"/>
                <w:szCs w:val="20"/>
              </w:rPr>
              <w:t>IOSCO’s comments had been noted and were being considered in the Board’s overall Strategy and Work Plan deliberations.</w:t>
            </w:r>
          </w:p>
        </w:tc>
      </w:tr>
      <w:tr w:rsidR="00072C9A" w:rsidRPr="00DA1CE1" w14:paraId="7EDA7823" w14:textId="77777777" w:rsidTr="00916C7F">
        <w:tc>
          <w:tcPr>
            <w:tcW w:w="9576" w:type="dxa"/>
            <w:gridSpan w:val="2"/>
          </w:tcPr>
          <w:p w14:paraId="38DFDAD2" w14:textId="77777777" w:rsidR="00072C9A" w:rsidRPr="00CA47FB" w:rsidRDefault="00072C9A" w:rsidP="00072C9A">
            <w:pPr>
              <w:spacing w:before="120" w:after="120" w:line="280" w:lineRule="exact"/>
              <w:jc w:val="center"/>
              <w:rPr>
                <w:rFonts w:ascii="Arial" w:hAnsi="Arial" w:cs="Arial"/>
                <w:sz w:val="18"/>
                <w:szCs w:val="18"/>
              </w:rPr>
            </w:pPr>
            <w:r w:rsidRPr="00CA47FB">
              <w:rPr>
                <w:rFonts w:ascii="Arial" w:eastAsia="Times New Roman" w:hAnsi="Arial" w:cs="Arial"/>
                <w:smallCaps/>
                <w:sz w:val="18"/>
                <w:szCs w:val="18"/>
              </w:rPr>
              <w:lastRenderedPageBreak/>
              <w:t>Involvement of TCWG</w:t>
            </w:r>
          </w:p>
        </w:tc>
      </w:tr>
      <w:tr w:rsidR="00A7288D" w:rsidRPr="00DA1CE1" w14:paraId="6B32378B" w14:textId="77777777" w:rsidTr="002305C9">
        <w:tc>
          <w:tcPr>
            <w:tcW w:w="4788" w:type="dxa"/>
          </w:tcPr>
          <w:p w14:paraId="1E3FCC5B" w14:textId="77777777" w:rsidR="00A7288D" w:rsidRPr="0014161A" w:rsidRDefault="0038445C" w:rsidP="001F7A0A">
            <w:pPr>
              <w:spacing w:before="120" w:after="120" w:line="280" w:lineRule="exact"/>
              <w:jc w:val="both"/>
              <w:rPr>
                <w:rFonts w:ascii="Arial" w:hAnsi="Arial" w:cs="Arial"/>
                <w:sz w:val="20"/>
                <w:szCs w:val="20"/>
              </w:rPr>
            </w:pPr>
            <w:r>
              <w:rPr>
                <w:rFonts w:ascii="Arial" w:hAnsi="Arial" w:cs="Arial"/>
                <w:sz w:val="20"/>
                <w:szCs w:val="20"/>
              </w:rPr>
              <w:t>Representatives had no comments on this matter.</w:t>
            </w:r>
          </w:p>
        </w:tc>
        <w:tc>
          <w:tcPr>
            <w:tcW w:w="4788" w:type="dxa"/>
          </w:tcPr>
          <w:p w14:paraId="108F796E" w14:textId="77777777" w:rsidR="00A7288D" w:rsidRPr="0014161A" w:rsidRDefault="00A7288D" w:rsidP="00D34992">
            <w:pPr>
              <w:spacing w:before="120" w:after="120" w:line="280" w:lineRule="exact"/>
              <w:jc w:val="both"/>
              <w:rPr>
                <w:rFonts w:ascii="Arial" w:hAnsi="Arial" w:cs="Arial"/>
                <w:sz w:val="20"/>
                <w:szCs w:val="20"/>
              </w:rPr>
            </w:pPr>
          </w:p>
        </w:tc>
      </w:tr>
      <w:tr w:rsidR="001F7A0A" w:rsidRPr="00DA1CE1" w14:paraId="3CCD5302" w14:textId="77777777" w:rsidTr="00BF66FE">
        <w:trPr>
          <w:trHeight w:val="368"/>
        </w:trPr>
        <w:tc>
          <w:tcPr>
            <w:tcW w:w="9576" w:type="dxa"/>
            <w:gridSpan w:val="2"/>
          </w:tcPr>
          <w:p w14:paraId="0089AD63" w14:textId="6877F993" w:rsidR="001F7A0A" w:rsidRPr="00CA47FB" w:rsidRDefault="0038445C" w:rsidP="00E927D9">
            <w:pPr>
              <w:spacing w:before="120" w:after="120" w:line="280" w:lineRule="exact"/>
              <w:jc w:val="center"/>
              <w:rPr>
                <w:rFonts w:ascii="Arial" w:hAnsi="Arial" w:cs="Arial"/>
                <w:b/>
                <w:sz w:val="18"/>
                <w:szCs w:val="18"/>
              </w:rPr>
            </w:pPr>
            <w:r w:rsidRPr="00CA47FB">
              <w:rPr>
                <w:rFonts w:ascii="Arial" w:eastAsia="Times New Roman" w:hAnsi="Arial" w:cs="Arial"/>
                <w:smallCaps/>
                <w:sz w:val="18"/>
                <w:szCs w:val="18"/>
              </w:rPr>
              <w:t>Time</w:t>
            </w:r>
            <w:r w:rsidR="00B13B0C" w:rsidRPr="00CA47FB">
              <w:rPr>
                <w:rFonts w:ascii="Arial" w:eastAsia="Times New Roman" w:hAnsi="Arial" w:cs="Arial"/>
                <w:smallCaps/>
                <w:sz w:val="18"/>
                <w:szCs w:val="18"/>
              </w:rPr>
              <w:t>-</w:t>
            </w:r>
            <w:r w:rsidRPr="00CA47FB">
              <w:rPr>
                <w:rFonts w:ascii="Arial" w:eastAsia="Times New Roman" w:hAnsi="Arial" w:cs="Arial"/>
                <w:smallCaps/>
                <w:sz w:val="18"/>
                <w:szCs w:val="18"/>
              </w:rPr>
              <w:t>On Period</w:t>
            </w:r>
          </w:p>
        </w:tc>
      </w:tr>
      <w:tr w:rsidR="00A7288D" w:rsidRPr="00DA1CE1" w14:paraId="448AB240" w14:textId="77777777" w:rsidTr="002305C9">
        <w:tc>
          <w:tcPr>
            <w:tcW w:w="4788" w:type="dxa"/>
          </w:tcPr>
          <w:p w14:paraId="2BF6355E" w14:textId="77777777" w:rsidR="00A7288D" w:rsidRPr="0014161A" w:rsidRDefault="0038445C" w:rsidP="003F7254">
            <w:pPr>
              <w:spacing w:before="120" w:after="120" w:line="280" w:lineRule="exact"/>
              <w:jc w:val="both"/>
              <w:rPr>
                <w:rFonts w:ascii="Arial" w:hAnsi="Arial" w:cs="Arial"/>
                <w:sz w:val="20"/>
                <w:szCs w:val="20"/>
              </w:rPr>
            </w:pPr>
            <w:r w:rsidRPr="0038445C">
              <w:rPr>
                <w:rFonts w:ascii="Arial" w:eastAsia="Times New Roman" w:hAnsi="Arial" w:cs="Arial"/>
                <w:kern w:val="8"/>
                <w:sz w:val="20"/>
                <w:szCs w:val="20"/>
                <w:lang w:bidi="he-IL"/>
              </w:rPr>
              <w:t xml:space="preserve">Ms. de Beer asked what consideration had been given to the adequacy of the current seven-year time-on period. </w:t>
            </w:r>
          </w:p>
        </w:tc>
        <w:tc>
          <w:tcPr>
            <w:tcW w:w="4788" w:type="dxa"/>
          </w:tcPr>
          <w:p w14:paraId="1F6A1A96" w14:textId="77777777" w:rsidR="00A7288D" w:rsidRPr="0014161A" w:rsidRDefault="003F7254" w:rsidP="009E5BFC">
            <w:pPr>
              <w:spacing w:before="120" w:after="120" w:line="280" w:lineRule="exact"/>
              <w:jc w:val="both"/>
              <w:rPr>
                <w:rFonts w:ascii="Arial" w:hAnsi="Arial" w:cs="Arial"/>
                <w:sz w:val="20"/>
                <w:szCs w:val="20"/>
              </w:rPr>
            </w:pPr>
            <w:r w:rsidRPr="0038445C">
              <w:rPr>
                <w:rFonts w:ascii="Arial" w:eastAsia="Times New Roman" w:hAnsi="Arial" w:cs="Arial"/>
                <w:kern w:val="8"/>
                <w:sz w:val="20"/>
                <w:szCs w:val="20"/>
                <w:lang w:bidi="he-IL"/>
              </w:rPr>
              <w:t xml:space="preserve">Ms. Orbea explained that at the inception of the project, the TF had researched current engagement periods in a large number of jurisdictions and surveyed stakeholders regarding their views as to what the maximum length of the time-on period should be. The findings from the research showed that most of the jurisdictions covered in the research had a seven-year maximum. A few jurisdictions had a lower maximum period, but </w:t>
            </w:r>
            <w:r w:rsidR="009E5BFC">
              <w:rPr>
                <w:rFonts w:ascii="Arial" w:eastAsia="Times New Roman" w:hAnsi="Arial" w:cs="Arial"/>
                <w:kern w:val="8"/>
                <w:sz w:val="20"/>
                <w:szCs w:val="20"/>
                <w:lang w:bidi="he-IL"/>
              </w:rPr>
              <w:t>also</w:t>
            </w:r>
            <w:r w:rsidR="009E5BFC" w:rsidRPr="0038445C">
              <w:rPr>
                <w:rFonts w:ascii="Arial" w:eastAsia="Times New Roman" w:hAnsi="Arial" w:cs="Arial"/>
                <w:kern w:val="8"/>
                <w:sz w:val="20"/>
                <w:szCs w:val="20"/>
                <w:lang w:bidi="he-IL"/>
              </w:rPr>
              <w:t xml:space="preserve"> </w:t>
            </w:r>
            <w:r w:rsidRPr="0038445C">
              <w:rPr>
                <w:rFonts w:ascii="Arial" w:eastAsia="Times New Roman" w:hAnsi="Arial" w:cs="Arial"/>
                <w:kern w:val="8"/>
                <w:sz w:val="20"/>
                <w:szCs w:val="20"/>
                <w:lang w:bidi="he-IL"/>
              </w:rPr>
              <w:t>allowed the maximum period to be extended if deemed to be beneficial to audit quality. In view of the findings, the TF has proposed, and the Board has agreed, that there was no need to amend the current seven-year maximum.</w:t>
            </w:r>
          </w:p>
        </w:tc>
      </w:tr>
      <w:tr w:rsidR="00732D68" w:rsidRPr="00DA1CE1" w14:paraId="18008CEC" w14:textId="77777777" w:rsidTr="00732D68">
        <w:tc>
          <w:tcPr>
            <w:tcW w:w="4788" w:type="dxa"/>
          </w:tcPr>
          <w:p w14:paraId="17E51F36" w14:textId="77777777" w:rsidR="00732D68" w:rsidRPr="00E7354B" w:rsidRDefault="00732D68" w:rsidP="007236DC">
            <w:pPr>
              <w:spacing w:before="120" w:after="120" w:line="280" w:lineRule="exact"/>
              <w:jc w:val="both"/>
              <w:rPr>
                <w:rFonts w:ascii="Arial" w:hAnsi="Arial" w:cs="Arial"/>
                <w:sz w:val="20"/>
                <w:szCs w:val="20"/>
              </w:rPr>
            </w:pPr>
            <w:r w:rsidRPr="000F42C1">
              <w:rPr>
                <w:rFonts w:ascii="Arial" w:eastAsia="Times New Roman" w:hAnsi="Arial" w:cs="Arial"/>
                <w:kern w:val="8"/>
                <w:sz w:val="20"/>
                <w:szCs w:val="20"/>
                <w:lang w:bidi="he-IL"/>
              </w:rPr>
              <w:t xml:space="preserve">Mr. James expressed the view that, from his own personal experience, he had never known a situation where an individual’s relationship with an audit client prior to becoming a KAP had been taken into account when rotation requirements were being considered. He wondered whether the new principles would be noted by audit teams going forward, adding that he felt that stronger wording could be appropriate. </w:t>
            </w:r>
          </w:p>
        </w:tc>
        <w:tc>
          <w:tcPr>
            <w:tcW w:w="4788" w:type="dxa"/>
          </w:tcPr>
          <w:p w14:paraId="4BEB2BEA" w14:textId="77777777" w:rsidR="00732D68" w:rsidRPr="00DA1CE1" w:rsidRDefault="00732D68" w:rsidP="007236DC">
            <w:pPr>
              <w:spacing w:before="120" w:after="120" w:line="280" w:lineRule="exact"/>
              <w:jc w:val="both"/>
              <w:rPr>
                <w:rFonts w:ascii="Arial" w:hAnsi="Arial" w:cs="Arial"/>
                <w:sz w:val="20"/>
                <w:szCs w:val="20"/>
              </w:rPr>
            </w:pPr>
            <w:r w:rsidRPr="000F42C1">
              <w:rPr>
                <w:rFonts w:ascii="Arial" w:eastAsia="Times New Roman" w:hAnsi="Arial" w:cs="Arial"/>
                <w:kern w:val="8"/>
                <w:sz w:val="20"/>
                <w:szCs w:val="20"/>
                <w:lang w:bidi="he-IL"/>
              </w:rPr>
              <w:t>Ms. Orbea acknowledged Mr. James’s view, noting that there was the possibility to reconsider the position if it were felt that the objective of the new principles was not being achieved.</w:t>
            </w:r>
          </w:p>
        </w:tc>
      </w:tr>
    </w:tbl>
    <w:p w14:paraId="682AF633" w14:textId="77777777" w:rsidR="007E0228" w:rsidRPr="007E0228" w:rsidRDefault="007E0228" w:rsidP="007E0228">
      <w:pPr>
        <w:spacing w:before="240" w:after="120" w:line="320" w:lineRule="exact"/>
        <w:ind w:right="-58"/>
        <w:jc w:val="both"/>
        <w:rPr>
          <w:rFonts w:ascii="Arial" w:eastAsia="Times New Roman" w:hAnsi="Arial" w:cs="Arial"/>
          <w:b/>
          <w:kern w:val="8"/>
          <w:sz w:val="20"/>
          <w:szCs w:val="20"/>
          <w:lang w:bidi="he-IL"/>
        </w:rPr>
      </w:pPr>
      <w:r w:rsidRPr="007E0228">
        <w:rPr>
          <w:rFonts w:ascii="Arial" w:eastAsia="Times New Roman" w:hAnsi="Arial" w:cs="Arial"/>
          <w:b/>
          <w:kern w:val="8"/>
          <w:sz w:val="20"/>
          <w:szCs w:val="20"/>
          <w:lang w:bidi="he-IL"/>
        </w:rPr>
        <w:t>Matters for CAG Consideration</w:t>
      </w:r>
    </w:p>
    <w:p w14:paraId="5333F2C5" w14:textId="5DAE7BC7" w:rsidR="00FD6A90" w:rsidRPr="0071294A" w:rsidRDefault="00FD6A90" w:rsidP="00220D7B">
      <w:pPr>
        <w:pStyle w:val="ListParagraph"/>
        <w:numPr>
          <w:ilvl w:val="0"/>
          <w:numId w:val="3"/>
        </w:numPr>
        <w:spacing w:before="120" w:after="120" w:line="280" w:lineRule="exact"/>
        <w:ind w:left="540" w:hanging="540"/>
        <w:contextualSpacing w:val="0"/>
        <w:rPr>
          <w:rFonts w:ascii="Arial" w:eastAsia="Times New Roman" w:hAnsi="Arial" w:cs="Arial"/>
          <w:kern w:val="8"/>
          <w:sz w:val="20"/>
          <w:szCs w:val="20"/>
          <w:lang w:bidi="he-IL"/>
        </w:rPr>
      </w:pPr>
      <w:r w:rsidRPr="0071294A">
        <w:rPr>
          <w:rFonts w:ascii="Arial" w:eastAsia="Times New Roman" w:hAnsi="Arial" w:cs="Arial"/>
          <w:kern w:val="8"/>
          <w:sz w:val="20"/>
          <w:szCs w:val="20"/>
          <w:lang w:bidi="he-IL"/>
        </w:rPr>
        <w:t xml:space="preserve">Representatives are asked </w:t>
      </w:r>
      <w:r w:rsidR="003B77E3">
        <w:rPr>
          <w:rFonts w:ascii="Arial" w:eastAsia="Times New Roman" w:hAnsi="Arial" w:cs="Arial"/>
          <w:kern w:val="8"/>
          <w:sz w:val="20"/>
          <w:szCs w:val="20"/>
          <w:lang w:bidi="he-IL"/>
        </w:rPr>
        <w:t>for views on the matter</w:t>
      </w:r>
      <w:r w:rsidR="00F26887">
        <w:rPr>
          <w:rFonts w:ascii="Arial" w:eastAsia="Times New Roman" w:hAnsi="Arial" w:cs="Arial"/>
          <w:kern w:val="8"/>
          <w:sz w:val="20"/>
          <w:szCs w:val="20"/>
          <w:lang w:bidi="he-IL"/>
        </w:rPr>
        <w:t>s</w:t>
      </w:r>
      <w:r w:rsidR="003B77E3">
        <w:rPr>
          <w:rFonts w:ascii="Arial" w:eastAsia="Times New Roman" w:hAnsi="Arial" w:cs="Arial"/>
          <w:kern w:val="8"/>
          <w:sz w:val="20"/>
          <w:szCs w:val="20"/>
          <w:lang w:bidi="he-IL"/>
        </w:rPr>
        <w:t xml:space="preserve"> </w:t>
      </w:r>
      <w:r w:rsidRPr="0071294A">
        <w:rPr>
          <w:rFonts w:ascii="Arial" w:eastAsia="Times New Roman" w:hAnsi="Arial" w:cs="Arial"/>
          <w:kern w:val="8"/>
          <w:sz w:val="20"/>
          <w:szCs w:val="20"/>
          <w:lang w:bidi="he-IL"/>
        </w:rPr>
        <w:t xml:space="preserve">raised in </w:t>
      </w:r>
      <w:r w:rsidR="00BB605C">
        <w:rPr>
          <w:rFonts w:ascii="Arial" w:eastAsia="Times New Roman" w:hAnsi="Arial" w:cs="Arial"/>
          <w:kern w:val="8"/>
          <w:sz w:val="20"/>
          <w:szCs w:val="20"/>
          <w:lang w:bidi="he-IL"/>
        </w:rPr>
        <w:t xml:space="preserve">Agenda Item </w:t>
      </w:r>
      <w:r w:rsidR="002A0F8F">
        <w:rPr>
          <w:rFonts w:ascii="Arial" w:eastAsia="Times New Roman" w:hAnsi="Arial" w:cs="Arial"/>
          <w:kern w:val="8"/>
          <w:sz w:val="20"/>
          <w:szCs w:val="20"/>
          <w:lang w:bidi="he-IL"/>
        </w:rPr>
        <w:t>A</w:t>
      </w:r>
      <w:r w:rsidR="003B77E3">
        <w:rPr>
          <w:rFonts w:ascii="Arial" w:eastAsia="Times New Roman" w:hAnsi="Arial" w:cs="Arial"/>
          <w:kern w:val="8"/>
          <w:sz w:val="20"/>
          <w:szCs w:val="20"/>
          <w:lang w:bidi="he-IL"/>
        </w:rPr>
        <w:t>-1</w:t>
      </w:r>
      <w:r w:rsidRPr="0071294A">
        <w:rPr>
          <w:rFonts w:ascii="Arial" w:eastAsia="Times New Roman" w:hAnsi="Arial" w:cs="Arial"/>
          <w:kern w:val="8"/>
          <w:sz w:val="20"/>
          <w:szCs w:val="20"/>
          <w:lang w:bidi="he-IL"/>
        </w:rPr>
        <w:t>.</w:t>
      </w:r>
    </w:p>
    <w:p w14:paraId="0AF54D28" w14:textId="77777777" w:rsidR="00FD6A90" w:rsidRDefault="00FD6A90" w:rsidP="00F26887">
      <w:pPr>
        <w:spacing w:before="240" w:after="120" w:line="280" w:lineRule="exact"/>
        <w:rPr>
          <w:rFonts w:ascii="Arial" w:eastAsia="Times New Roman" w:hAnsi="Arial" w:cs="Arial"/>
          <w:b/>
          <w:kern w:val="8"/>
          <w:sz w:val="20"/>
          <w:szCs w:val="20"/>
          <w:lang w:bidi="he-IL"/>
        </w:rPr>
      </w:pPr>
      <w:r w:rsidRPr="00D37D07">
        <w:rPr>
          <w:rFonts w:ascii="Arial" w:eastAsia="Times New Roman" w:hAnsi="Arial" w:cs="Arial"/>
          <w:b/>
          <w:kern w:val="8"/>
          <w:sz w:val="20"/>
          <w:szCs w:val="20"/>
          <w:lang w:bidi="he-IL"/>
        </w:rPr>
        <w:t>Material Presented</w:t>
      </w:r>
      <w:r>
        <w:rPr>
          <w:rFonts w:ascii="Arial" w:eastAsia="Times New Roman" w:hAnsi="Arial" w:cs="Arial"/>
          <w:b/>
          <w:kern w:val="8"/>
          <w:sz w:val="20"/>
          <w:szCs w:val="20"/>
          <w:lang w:bidi="he-IL"/>
        </w:rPr>
        <w:t xml:space="preserve"> – CAG Paper</w:t>
      </w:r>
      <w:r w:rsidR="003B77E3">
        <w:rPr>
          <w:rFonts w:ascii="Arial" w:eastAsia="Times New Roman" w:hAnsi="Arial" w:cs="Arial"/>
          <w:b/>
          <w:kern w:val="8"/>
          <w:sz w:val="20"/>
          <w:szCs w:val="20"/>
          <w:lang w:bidi="he-IL"/>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190"/>
        <w:gridCol w:w="7290"/>
      </w:tblGrid>
      <w:tr w:rsidR="00FD6A90" w:rsidRPr="00D37D07" w14:paraId="33F094D8" w14:textId="77777777" w:rsidTr="00D55959">
        <w:trPr>
          <w:cantSplit/>
        </w:trPr>
        <w:tc>
          <w:tcPr>
            <w:tcW w:w="2190" w:type="dxa"/>
          </w:tcPr>
          <w:p w14:paraId="7F9DA5FC" w14:textId="42B0FAD5" w:rsidR="00FD6A90" w:rsidRPr="00381355" w:rsidRDefault="00D55959" w:rsidP="00381355">
            <w:pPr>
              <w:spacing w:before="120" w:after="0" w:line="280" w:lineRule="exact"/>
              <w:jc w:val="both"/>
              <w:rPr>
                <w:rFonts w:ascii="Arial" w:eastAsia="Times New Roman" w:hAnsi="Arial" w:cs="Arial"/>
                <w:color w:val="FF0000"/>
                <w:kern w:val="8"/>
                <w:sz w:val="20"/>
                <w:szCs w:val="20"/>
                <w:lang w:val="fr-FR" w:bidi="he-IL"/>
              </w:rPr>
            </w:pPr>
            <w:r w:rsidRPr="00381355">
              <w:rPr>
                <w:rFonts w:ascii="Arial" w:eastAsia="Times New Roman" w:hAnsi="Arial" w:cs="Arial"/>
                <w:kern w:val="8"/>
                <w:sz w:val="20"/>
                <w:szCs w:val="20"/>
                <w:lang w:val="fr-FR" w:bidi="he-IL"/>
              </w:rPr>
              <w:t xml:space="preserve">Agenda Item </w:t>
            </w:r>
            <w:r w:rsidR="006F2703" w:rsidRPr="00381355">
              <w:rPr>
                <w:rFonts w:ascii="Arial" w:eastAsia="Times New Roman" w:hAnsi="Arial" w:cs="Arial"/>
                <w:kern w:val="8"/>
                <w:sz w:val="20"/>
                <w:szCs w:val="20"/>
                <w:lang w:val="fr-FR" w:bidi="he-IL"/>
              </w:rPr>
              <w:t>A-</w:t>
            </w:r>
            <w:r w:rsidRPr="00381355">
              <w:rPr>
                <w:rFonts w:ascii="Arial" w:eastAsia="Times New Roman" w:hAnsi="Arial" w:cs="Arial"/>
                <w:kern w:val="8"/>
                <w:sz w:val="20"/>
                <w:szCs w:val="20"/>
                <w:lang w:val="fr-FR" w:bidi="he-IL"/>
              </w:rPr>
              <w:t>1</w:t>
            </w:r>
          </w:p>
        </w:tc>
        <w:tc>
          <w:tcPr>
            <w:tcW w:w="7290" w:type="dxa"/>
          </w:tcPr>
          <w:p w14:paraId="5DF5A610" w14:textId="77777777" w:rsidR="00CD00C9" w:rsidRPr="00381355" w:rsidRDefault="00BB605C" w:rsidP="00381355">
            <w:pPr>
              <w:spacing w:before="120" w:after="0" w:line="280" w:lineRule="exact"/>
              <w:jc w:val="both"/>
              <w:rPr>
                <w:rFonts w:ascii="Arial" w:hAnsi="Arial" w:cs="Arial"/>
                <w:sz w:val="20"/>
                <w:szCs w:val="20"/>
              </w:rPr>
            </w:pPr>
            <w:r w:rsidRPr="00381355">
              <w:rPr>
                <w:rFonts w:ascii="Arial" w:hAnsi="Arial" w:cs="Arial"/>
                <w:sz w:val="20"/>
                <w:szCs w:val="20"/>
              </w:rPr>
              <w:t>Long Association –</w:t>
            </w:r>
            <w:r w:rsidR="00723850" w:rsidRPr="00381355">
              <w:rPr>
                <w:rFonts w:ascii="Arial" w:hAnsi="Arial" w:cs="Arial"/>
                <w:sz w:val="20"/>
                <w:szCs w:val="20"/>
              </w:rPr>
              <w:t xml:space="preserve"> </w:t>
            </w:r>
            <w:r w:rsidR="0087669A" w:rsidRPr="00381355">
              <w:rPr>
                <w:rFonts w:ascii="Arial" w:hAnsi="Arial" w:cs="Arial"/>
                <w:sz w:val="20"/>
                <w:szCs w:val="20"/>
              </w:rPr>
              <w:t>Issues Paper</w:t>
            </w:r>
          </w:p>
        </w:tc>
      </w:tr>
      <w:tr w:rsidR="0087669A" w14:paraId="19CD8B55" w14:textId="77777777" w:rsidTr="00D55959">
        <w:trPr>
          <w:cantSplit/>
        </w:trPr>
        <w:tc>
          <w:tcPr>
            <w:tcW w:w="2190" w:type="dxa"/>
          </w:tcPr>
          <w:p w14:paraId="2F8B04ED" w14:textId="3562E0C9" w:rsidR="0087669A" w:rsidRPr="00381355" w:rsidRDefault="00D55959" w:rsidP="00381355">
            <w:pPr>
              <w:spacing w:before="120" w:after="0" w:line="280" w:lineRule="exact"/>
              <w:jc w:val="both"/>
              <w:rPr>
                <w:rFonts w:ascii="Arial" w:eastAsia="Times New Roman" w:hAnsi="Arial" w:cs="Arial"/>
                <w:kern w:val="8"/>
                <w:sz w:val="20"/>
                <w:szCs w:val="20"/>
                <w:lang w:val="fr-FR" w:bidi="he-IL"/>
              </w:rPr>
            </w:pPr>
            <w:r w:rsidRPr="00381355">
              <w:rPr>
                <w:rFonts w:ascii="Arial" w:eastAsia="Times New Roman" w:hAnsi="Arial" w:cs="Arial"/>
                <w:kern w:val="8"/>
                <w:sz w:val="20"/>
                <w:szCs w:val="20"/>
                <w:lang w:val="fr-FR" w:bidi="he-IL"/>
              </w:rPr>
              <w:t xml:space="preserve">Agenda Item </w:t>
            </w:r>
            <w:r w:rsidR="006F2703" w:rsidRPr="00381355">
              <w:rPr>
                <w:rFonts w:ascii="Arial" w:eastAsia="Times New Roman" w:hAnsi="Arial" w:cs="Arial"/>
                <w:kern w:val="8"/>
                <w:sz w:val="20"/>
                <w:szCs w:val="20"/>
                <w:lang w:val="fr-FR" w:bidi="he-IL"/>
              </w:rPr>
              <w:t>A-</w:t>
            </w:r>
            <w:r w:rsidR="002E1924">
              <w:rPr>
                <w:rFonts w:ascii="Arial" w:eastAsia="Times New Roman" w:hAnsi="Arial" w:cs="Arial"/>
                <w:kern w:val="8"/>
                <w:sz w:val="20"/>
                <w:szCs w:val="20"/>
                <w:lang w:val="fr-FR" w:bidi="he-IL"/>
              </w:rPr>
              <w:t>2</w:t>
            </w:r>
          </w:p>
        </w:tc>
        <w:tc>
          <w:tcPr>
            <w:tcW w:w="7290" w:type="dxa"/>
          </w:tcPr>
          <w:p w14:paraId="0348C581" w14:textId="77777777" w:rsidR="0087669A" w:rsidRPr="00381355" w:rsidRDefault="00D55959" w:rsidP="00381355">
            <w:pPr>
              <w:spacing w:before="120" w:after="0" w:line="280" w:lineRule="exact"/>
              <w:jc w:val="both"/>
              <w:rPr>
                <w:rFonts w:ascii="Arial" w:hAnsi="Arial" w:cs="Arial"/>
                <w:sz w:val="20"/>
                <w:szCs w:val="20"/>
              </w:rPr>
            </w:pPr>
            <w:r w:rsidRPr="00381355">
              <w:rPr>
                <w:rFonts w:ascii="Arial" w:hAnsi="Arial" w:cs="Arial"/>
                <w:sz w:val="20"/>
                <w:szCs w:val="20"/>
              </w:rPr>
              <w:t>Long Association – Section 290 – Proposed Revisions (Mark Up)</w:t>
            </w:r>
          </w:p>
        </w:tc>
      </w:tr>
      <w:tr w:rsidR="00750C21" w14:paraId="086614C2" w14:textId="77777777" w:rsidTr="00D55959">
        <w:trPr>
          <w:cantSplit/>
        </w:trPr>
        <w:tc>
          <w:tcPr>
            <w:tcW w:w="2190" w:type="dxa"/>
          </w:tcPr>
          <w:p w14:paraId="7D66E876" w14:textId="2B0EB1AA" w:rsidR="00750C21" w:rsidRPr="00381355" w:rsidRDefault="00D55959" w:rsidP="00381355">
            <w:pPr>
              <w:spacing w:before="120" w:after="0" w:line="280" w:lineRule="exact"/>
              <w:jc w:val="both"/>
              <w:rPr>
                <w:rFonts w:ascii="Arial" w:eastAsia="Times New Roman" w:hAnsi="Arial" w:cs="Arial"/>
                <w:kern w:val="8"/>
                <w:sz w:val="20"/>
                <w:szCs w:val="20"/>
                <w:lang w:val="fr-FR" w:bidi="he-IL"/>
              </w:rPr>
            </w:pPr>
            <w:r w:rsidRPr="00381355">
              <w:rPr>
                <w:rFonts w:ascii="Arial" w:eastAsia="Times New Roman" w:hAnsi="Arial" w:cs="Arial"/>
                <w:kern w:val="8"/>
                <w:sz w:val="20"/>
                <w:szCs w:val="20"/>
                <w:lang w:val="fr-FR" w:bidi="he-IL"/>
              </w:rPr>
              <w:t xml:space="preserve">Agenda Item </w:t>
            </w:r>
            <w:r w:rsidR="006F2703" w:rsidRPr="00381355">
              <w:rPr>
                <w:rFonts w:ascii="Arial" w:eastAsia="Times New Roman" w:hAnsi="Arial" w:cs="Arial"/>
                <w:kern w:val="8"/>
                <w:sz w:val="20"/>
                <w:szCs w:val="20"/>
                <w:lang w:val="fr-FR" w:bidi="he-IL"/>
              </w:rPr>
              <w:t>A-</w:t>
            </w:r>
            <w:r w:rsidRPr="00381355">
              <w:rPr>
                <w:rFonts w:ascii="Arial" w:eastAsia="Times New Roman" w:hAnsi="Arial" w:cs="Arial"/>
                <w:kern w:val="8"/>
                <w:sz w:val="20"/>
                <w:szCs w:val="20"/>
                <w:lang w:val="fr-FR" w:bidi="he-IL"/>
              </w:rPr>
              <w:t>3</w:t>
            </w:r>
          </w:p>
        </w:tc>
        <w:tc>
          <w:tcPr>
            <w:tcW w:w="7290" w:type="dxa"/>
          </w:tcPr>
          <w:p w14:paraId="6FF0EAA1" w14:textId="77777777" w:rsidR="00750C21" w:rsidRPr="00381355" w:rsidRDefault="00D55959" w:rsidP="00381355">
            <w:pPr>
              <w:spacing w:before="120" w:after="0" w:line="280" w:lineRule="exact"/>
              <w:jc w:val="both"/>
              <w:rPr>
                <w:rFonts w:ascii="Arial" w:hAnsi="Arial" w:cs="Arial"/>
                <w:sz w:val="20"/>
                <w:szCs w:val="20"/>
              </w:rPr>
            </w:pPr>
            <w:r w:rsidRPr="00381355">
              <w:rPr>
                <w:rFonts w:ascii="Arial" w:hAnsi="Arial" w:cs="Arial"/>
                <w:sz w:val="20"/>
                <w:szCs w:val="20"/>
              </w:rPr>
              <w:t xml:space="preserve">Long Association – Section </w:t>
            </w:r>
            <w:r w:rsidR="004E63A4" w:rsidRPr="00381355">
              <w:rPr>
                <w:rFonts w:ascii="Arial" w:hAnsi="Arial" w:cs="Arial"/>
                <w:sz w:val="20"/>
                <w:szCs w:val="20"/>
              </w:rPr>
              <w:t>290</w:t>
            </w:r>
            <w:r w:rsidRPr="00381355">
              <w:rPr>
                <w:rFonts w:ascii="Arial" w:hAnsi="Arial" w:cs="Arial"/>
                <w:sz w:val="20"/>
                <w:szCs w:val="20"/>
              </w:rPr>
              <w:t xml:space="preserve"> – Proposed Revisions (Clean)</w:t>
            </w:r>
          </w:p>
        </w:tc>
      </w:tr>
      <w:tr w:rsidR="00750C21" w14:paraId="37FD553C" w14:textId="77777777" w:rsidTr="00D55959">
        <w:trPr>
          <w:cantSplit/>
        </w:trPr>
        <w:tc>
          <w:tcPr>
            <w:tcW w:w="2190" w:type="dxa"/>
          </w:tcPr>
          <w:p w14:paraId="4F370A1A" w14:textId="6DC28E63" w:rsidR="00750C21" w:rsidRPr="00381355" w:rsidRDefault="00D55959" w:rsidP="00381355">
            <w:pPr>
              <w:spacing w:before="120" w:after="0" w:line="280" w:lineRule="exact"/>
              <w:jc w:val="both"/>
              <w:rPr>
                <w:rFonts w:ascii="Arial" w:eastAsia="Times New Roman" w:hAnsi="Arial" w:cs="Arial"/>
                <w:kern w:val="8"/>
                <w:sz w:val="20"/>
                <w:szCs w:val="20"/>
                <w:lang w:val="fr-FR" w:bidi="he-IL"/>
              </w:rPr>
            </w:pPr>
            <w:r w:rsidRPr="00381355">
              <w:rPr>
                <w:rFonts w:ascii="Arial" w:eastAsia="Times New Roman" w:hAnsi="Arial" w:cs="Arial"/>
                <w:kern w:val="8"/>
                <w:sz w:val="20"/>
                <w:szCs w:val="20"/>
                <w:lang w:val="fr-FR" w:bidi="he-IL"/>
              </w:rPr>
              <w:t xml:space="preserve">Agenda Item </w:t>
            </w:r>
            <w:r w:rsidR="006F2703" w:rsidRPr="00381355">
              <w:rPr>
                <w:rFonts w:ascii="Arial" w:eastAsia="Times New Roman" w:hAnsi="Arial" w:cs="Arial"/>
                <w:kern w:val="8"/>
                <w:sz w:val="20"/>
                <w:szCs w:val="20"/>
                <w:lang w:val="fr-FR" w:bidi="he-IL"/>
              </w:rPr>
              <w:t>A-</w:t>
            </w:r>
            <w:r w:rsidRPr="00381355">
              <w:rPr>
                <w:rFonts w:ascii="Arial" w:eastAsia="Times New Roman" w:hAnsi="Arial" w:cs="Arial"/>
                <w:kern w:val="8"/>
                <w:sz w:val="20"/>
                <w:szCs w:val="20"/>
                <w:lang w:val="fr-FR" w:bidi="he-IL"/>
              </w:rPr>
              <w:t>4</w:t>
            </w:r>
          </w:p>
        </w:tc>
        <w:tc>
          <w:tcPr>
            <w:tcW w:w="7290" w:type="dxa"/>
          </w:tcPr>
          <w:p w14:paraId="0D8B670F" w14:textId="77777777" w:rsidR="00750C21" w:rsidRPr="00381355" w:rsidRDefault="004E63A4" w:rsidP="00381355">
            <w:pPr>
              <w:spacing w:before="120" w:after="0" w:line="280" w:lineRule="exact"/>
              <w:jc w:val="both"/>
              <w:rPr>
                <w:rFonts w:ascii="Arial" w:hAnsi="Arial" w:cs="Arial"/>
                <w:sz w:val="20"/>
                <w:szCs w:val="20"/>
              </w:rPr>
            </w:pPr>
            <w:r w:rsidRPr="00381355">
              <w:rPr>
                <w:rFonts w:ascii="Arial" w:hAnsi="Arial" w:cs="Arial"/>
                <w:sz w:val="20"/>
                <w:szCs w:val="20"/>
              </w:rPr>
              <w:t>Long Association – Section 291 – Proposed Revisions (Mark Up)</w:t>
            </w:r>
          </w:p>
        </w:tc>
      </w:tr>
      <w:tr w:rsidR="00750C21" w14:paraId="6743E1B5" w14:textId="77777777" w:rsidTr="00A46825">
        <w:trPr>
          <w:cantSplit/>
          <w:trHeight w:val="152"/>
        </w:trPr>
        <w:tc>
          <w:tcPr>
            <w:tcW w:w="2190" w:type="dxa"/>
          </w:tcPr>
          <w:p w14:paraId="0CBBADC6" w14:textId="5BDD5EAE" w:rsidR="00750C21" w:rsidRPr="00381355" w:rsidRDefault="00D55959" w:rsidP="00381355">
            <w:pPr>
              <w:spacing w:before="120" w:after="0" w:line="280" w:lineRule="exact"/>
              <w:jc w:val="both"/>
              <w:rPr>
                <w:rFonts w:ascii="Arial" w:eastAsia="Times New Roman" w:hAnsi="Arial" w:cs="Arial"/>
                <w:kern w:val="8"/>
                <w:sz w:val="20"/>
                <w:szCs w:val="20"/>
                <w:lang w:val="fr-FR" w:bidi="he-IL"/>
              </w:rPr>
            </w:pPr>
            <w:r w:rsidRPr="00381355">
              <w:rPr>
                <w:rFonts w:ascii="Arial" w:eastAsia="Times New Roman" w:hAnsi="Arial" w:cs="Arial"/>
                <w:kern w:val="8"/>
                <w:sz w:val="20"/>
                <w:szCs w:val="20"/>
                <w:lang w:val="fr-FR" w:bidi="he-IL"/>
              </w:rPr>
              <w:t xml:space="preserve">Agenda Item </w:t>
            </w:r>
            <w:r w:rsidR="006F2703" w:rsidRPr="00381355">
              <w:rPr>
                <w:rFonts w:ascii="Arial" w:eastAsia="Times New Roman" w:hAnsi="Arial" w:cs="Arial"/>
                <w:kern w:val="8"/>
                <w:sz w:val="20"/>
                <w:szCs w:val="20"/>
                <w:lang w:val="fr-FR" w:bidi="he-IL"/>
              </w:rPr>
              <w:t>A-</w:t>
            </w:r>
            <w:r w:rsidRPr="00381355">
              <w:rPr>
                <w:rFonts w:ascii="Arial" w:eastAsia="Times New Roman" w:hAnsi="Arial" w:cs="Arial"/>
                <w:kern w:val="8"/>
                <w:sz w:val="20"/>
                <w:szCs w:val="20"/>
                <w:lang w:val="fr-FR" w:bidi="he-IL"/>
              </w:rPr>
              <w:t>5</w:t>
            </w:r>
          </w:p>
        </w:tc>
        <w:tc>
          <w:tcPr>
            <w:tcW w:w="7290" w:type="dxa"/>
          </w:tcPr>
          <w:p w14:paraId="170649A4" w14:textId="77777777" w:rsidR="00750C21" w:rsidRPr="00381355" w:rsidRDefault="004E63A4" w:rsidP="00381355">
            <w:pPr>
              <w:spacing w:before="120" w:after="0" w:line="280" w:lineRule="exact"/>
              <w:jc w:val="both"/>
              <w:rPr>
                <w:rFonts w:ascii="Arial" w:hAnsi="Arial" w:cs="Arial"/>
                <w:sz w:val="20"/>
                <w:szCs w:val="20"/>
              </w:rPr>
            </w:pPr>
            <w:r w:rsidRPr="00381355">
              <w:rPr>
                <w:rFonts w:ascii="Arial" w:hAnsi="Arial" w:cs="Arial"/>
                <w:sz w:val="20"/>
                <w:szCs w:val="20"/>
              </w:rPr>
              <w:t>Long Association – Section 291 – Proposed Revisions (Clean)</w:t>
            </w:r>
          </w:p>
        </w:tc>
      </w:tr>
    </w:tbl>
    <w:p w14:paraId="3236C162" w14:textId="77777777" w:rsidR="00B77142" w:rsidRPr="00452219" w:rsidRDefault="00B77142" w:rsidP="00E365B4">
      <w:pPr>
        <w:spacing w:before="240" w:after="0" w:line="280" w:lineRule="exact"/>
        <w:rPr>
          <w:rFonts w:ascii="Arial" w:eastAsia="Times New Roman" w:hAnsi="Arial" w:cs="Arial"/>
          <w:kern w:val="8"/>
          <w:sz w:val="20"/>
          <w:szCs w:val="20"/>
          <w:lang w:bidi="he-IL"/>
        </w:rPr>
      </w:pPr>
      <w:bookmarkStart w:id="0" w:name="_GoBack"/>
      <w:bookmarkEnd w:id="0"/>
    </w:p>
    <w:sectPr w:rsidR="00B77142" w:rsidRPr="00452219" w:rsidSect="006F1B73">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3899F" w14:textId="77777777" w:rsidR="00F70465" w:rsidRDefault="00F70465" w:rsidP="00407918">
      <w:pPr>
        <w:spacing w:after="0" w:line="240" w:lineRule="auto"/>
      </w:pPr>
      <w:r>
        <w:separator/>
      </w:r>
    </w:p>
  </w:endnote>
  <w:endnote w:type="continuationSeparator" w:id="0">
    <w:p w14:paraId="526AAAD5" w14:textId="77777777" w:rsidR="00F70465" w:rsidRDefault="00F70465" w:rsidP="0040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945774251"/>
      <w:docPartObj>
        <w:docPartGallery w:val="Page Numbers (Bottom of Page)"/>
        <w:docPartUnique/>
      </w:docPartObj>
    </w:sdtPr>
    <w:sdtEndPr/>
    <w:sdtContent>
      <w:sdt>
        <w:sdtPr>
          <w:rPr>
            <w:rFonts w:ascii="Arial" w:hAnsi="Arial" w:cs="Arial"/>
            <w:sz w:val="16"/>
            <w:szCs w:val="16"/>
          </w:rPr>
          <w:id w:val="-1669238322"/>
          <w:docPartObj>
            <w:docPartGallery w:val="Page Numbers (Top of Page)"/>
            <w:docPartUnique/>
          </w:docPartObj>
        </w:sdtPr>
        <w:sdtEndPr/>
        <w:sdtContent>
          <w:p w14:paraId="42F301E2" w14:textId="77777777" w:rsidR="00787C6F" w:rsidRPr="00AC561B" w:rsidRDefault="00787C6F" w:rsidP="000A2B70">
            <w:pPr>
              <w:pStyle w:val="Footer"/>
              <w:spacing w:line="240" w:lineRule="exact"/>
              <w:jc w:val="center"/>
              <w:rPr>
                <w:rFonts w:ascii="Arial" w:hAnsi="Arial" w:cs="Arial"/>
                <w:sz w:val="16"/>
                <w:szCs w:val="16"/>
              </w:rPr>
            </w:pPr>
          </w:p>
          <w:p w14:paraId="7F9C1DEE" w14:textId="77777777" w:rsidR="00787C6F" w:rsidRPr="00AC561B" w:rsidRDefault="00787C6F" w:rsidP="000A2B70">
            <w:pPr>
              <w:pStyle w:val="Footer"/>
              <w:spacing w:line="240" w:lineRule="exact"/>
              <w:jc w:val="center"/>
              <w:rPr>
                <w:rFonts w:ascii="Arial" w:hAnsi="Arial" w:cs="Arial"/>
                <w:sz w:val="16"/>
                <w:szCs w:val="16"/>
              </w:rPr>
            </w:pPr>
            <w:r w:rsidRPr="00AC561B">
              <w:rPr>
                <w:rFonts w:ascii="Arial" w:hAnsi="Arial" w:cs="Arial"/>
                <w:sz w:val="16"/>
                <w:szCs w:val="16"/>
              </w:rPr>
              <w:t xml:space="preserve">Agenda Item </w:t>
            </w:r>
            <w:r w:rsidR="00D50EB9">
              <w:rPr>
                <w:rFonts w:ascii="Arial" w:hAnsi="Arial" w:cs="Arial"/>
                <w:sz w:val="16"/>
                <w:szCs w:val="16"/>
              </w:rPr>
              <w:t>A</w:t>
            </w:r>
          </w:p>
          <w:p w14:paraId="233523B5" w14:textId="77777777" w:rsidR="00787C6F" w:rsidRPr="00AC561B" w:rsidRDefault="00787C6F" w:rsidP="000A2B70">
            <w:pPr>
              <w:pStyle w:val="Footer"/>
              <w:spacing w:line="240" w:lineRule="exact"/>
              <w:jc w:val="center"/>
              <w:rPr>
                <w:rFonts w:ascii="Arial" w:hAnsi="Arial" w:cs="Arial"/>
                <w:sz w:val="16"/>
                <w:szCs w:val="16"/>
              </w:rPr>
            </w:pPr>
            <w:r w:rsidRPr="00AC561B">
              <w:rPr>
                <w:rFonts w:ascii="Arial" w:hAnsi="Arial" w:cs="Arial"/>
                <w:sz w:val="16"/>
                <w:szCs w:val="16"/>
              </w:rPr>
              <w:t xml:space="preserve">Page </w:t>
            </w:r>
            <w:r w:rsidRPr="00AC561B">
              <w:rPr>
                <w:rFonts w:ascii="Arial" w:hAnsi="Arial" w:cs="Arial"/>
                <w:bCs/>
                <w:sz w:val="16"/>
                <w:szCs w:val="16"/>
              </w:rPr>
              <w:fldChar w:fldCharType="begin"/>
            </w:r>
            <w:r w:rsidRPr="00AC561B">
              <w:rPr>
                <w:rFonts w:ascii="Arial" w:hAnsi="Arial" w:cs="Arial"/>
                <w:bCs/>
                <w:sz w:val="16"/>
                <w:szCs w:val="16"/>
              </w:rPr>
              <w:instrText xml:space="preserve"> PAGE </w:instrText>
            </w:r>
            <w:r w:rsidRPr="00AC561B">
              <w:rPr>
                <w:rFonts w:ascii="Arial" w:hAnsi="Arial" w:cs="Arial"/>
                <w:bCs/>
                <w:sz w:val="16"/>
                <w:szCs w:val="16"/>
              </w:rPr>
              <w:fldChar w:fldCharType="separate"/>
            </w:r>
            <w:r w:rsidR="00FA736C">
              <w:rPr>
                <w:rFonts w:ascii="Arial" w:hAnsi="Arial" w:cs="Arial"/>
                <w:bCs/>
                <w:noProof/>
                <w:sz w:val="16"/>
                <w:szCs w:val="16"/>
              </w:rPr>
              <w:t>5</w:t>
            </w:r>
            <w:r w:rsidRPr="00AC561B">
              <w:rPr>
                <w:rFonts w:ascii="Arial" w:hAnsi="Arial" w:cs="Arial"/>
                <w:bCs/>
                <w:sz w:val="16"/>
                <w:szCs w:val="16"/>
              </w:rPr>
              <w:fldChar w:fldCharType="end"/>
            </w:r>
            <w:r w:rsidRPr="00AC561B">
              <w:rPr>
                <w:rFonts w:ascii="Arial" w:hAnsi="Arial" w:cs="Arial"/>
                <w:sz w:val="16"/>
                <w:szCs w:val="16"/>
              </w:rPr>
              <w:t xml:space="preserve"> of </w:t>
            </w:r>
            <w:r w:rsidRPr="00AC561B">
              <w:rPr>
                <w:rFonts w:ascii="Arial" w:hAnsi="Arial" w:cs="Arial"/>
                <w:bCs/>
                <w:sz w:val="16"/>
                <w:szCs w:val="16"/>
              </w:rPr>
              <w:fldChar w:fldCharType="begin"/>
            </w:r>
            <w:r w:rsidRPr="00AC561B">
              <w:rPr>
                <w:rFonts w:ascii="Arial" w:hAnsi="Arial" w:cs="Arial"/>
                <w:bCs/>
                <w:sz w:val="16"/>
                <w:szCs w:val="16"/>
              </w:rPr>
              <w:instrText xml:space="preserve"> NUMPAGES  </w:instrText>
            </w:r>
            <w:r w:rsidRPr="00AC561B">
              <w:rPr>
                <w:rFonts w:ascii="Arial" w:hAnsi="Arial" w:cs="Arial"/>
                <w:bCs/>
                <w:sz w:val="16"/>
                <w:szCs w:val="16"/>
              </w:rPr>
              <w:fldChar w:fldCharType="separate"/>
            </w:r>
            <w:r w:rsidR="00FA736C">
              <w:rPr>
                <w:rFonts w:ascii="Arial" w:hAnsi="Arial" w:cs="Arial"/>
                <w:bCs/>
                <w:noProof/>
                <w:sz w:val="16"/>
                <w:szCs w:val="16"/>
              </w:rPr>
              <w:t>5</w:t>
            </w:r>
            <w:r w:rsidRPr="00AC561B">
              <w:rPr>
                <w:rFonts w:ascii="Arial" w:hAnsi="Arial" w:cs="Arial"/>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2514D" w14:textId="77777777" w:rsidR="00787C6F" w:rsidRPr="0022575A" w:rsidRDefault="00787C6F" w:rsidP="006F1B73">
    <w:pPr>
      <w:pStyle w:val="Footer"/>
      <w:tabs>
        <w:tab w:val="clear" w:pos="4680"/>
      </w:tabs>
      <w:spacing w:line="240" w:lineRule="exact"/>
      <w:rPr>
        <w:rFonts w:ascii="Arial" w:hAnsi="Arial" w:cs="Arial"/>
        <w:sz w:val="16"/>
        <w:szCs w:val="16"/>
      </w:rPr>
    </w:pPr>
    <w:r w:rsidRPr="0022575A">
      <w:rPr>
        <w:rFonts w:ascii="Arial" w:hAnsi="Arial" w:cs="Arial"/>
        <w:i/>
        <w:sz w:val="16"/>
        <w:szCs w:val="16"/>
      </w:rPr>
      <w:t>Prepared by</w:t>
    </w:r>
    <w:r w:rsidRPr="0022575A">
      <w:rPr>
        <w:rFonts w:ascii="Arial" w:hAnsi="Arial" w:cs="Arial"/>
        <w:sz w:val="16"/>
        <w:szCs w:val="16"/>
      </w:rPr>
      <w:t xml:space="preserve">: </w:t>
    </w:r>
    <w:r w:rsidR="003939AC">
      <w:rPr>
        <w:rFonts w:ascii="Arial" w:hAnsi="Arial" w:cs="Arial"/>
        <w:sz w:val="16"/>
        <w:szCs w:val="16"/>
      </w:rPr>
      <w:t>Elizabeth Higgs</w:t>
    </w:r>
    <w:r w:rsidR="00DA1CE1">
      <w:rPr>
        <w:rFonts w:ascii="Arial" w:hAnsi="Arial" w:cs="Arial"/>
        <w:sz w:val="16"/>
        <w:szCs w:val="16"/>
      </w:rPr>
      <w:t xml:space="preserve"> </w:t>
    </w:r>
    <w:r w:rsidRPr="0022575A">
      <w:rPr>
        <w:rFonts w:ascii="Arial" w:hAnsi="Arial" w:cs="Arial"/>
        <w:sz w:val="16"/>
        <w:szCs w:val="16"/>
      </w:rPr>
      <w:t>(</w:t>
    </w:r>
    <w:r w:rsidR="003939AC">
      <w:rPr>
        <w:rFonts w:ascii="Arial" w:hAnsi="Arial" w:cs="Arial"/>
        <w:sz w:val="16"/>
        <w:szCs w:val="16"/>
      </w:rPr>
      <w:t>June 2014</w:t>
    </w:r>
    <w:r w:rsidRPr="0022575A">
      <w:rPr>
        <w:rFonts w:ascii="Arial" w:hAnsi="Arial" w:cs="Arial"/>
        <w:sz w:val="16"/>
        <w:szCs w:val="16"/>
      </w:rPr>
      <w:t>)</w:t>
    </w:r>
    <w:r w:rsidRPr="0022575A">
      <w:rPr>
        <w:rFonts w:ascii="Arial" w:hAnsi="Arial" w:cs="Arial"/>
        <w:sz w:val="16"/>
        <w:szCs w:val="16"/>
      </w:rPr>
      <w:tab/>
      <w:t xml:space="preserve">Page </w:t>
    </w:r>
    <w:r w:rsidRPr="0022575A">
      <w:rPr>
        <w:rFonts w:ascii="Arial" w:hAnsi="Arial" w:cs="Arial"/>
        <w:bCs/>
        <w:sz w:val="16"/>
        <w:szCs w:val="16"/>
      </w:rPr>
      <w:fldChar w:fldCharType="begin"/>
    </w:r>
    <w:r w:rsidRPr="0022575A">
      <w:rPr>
        <w:rFonts w:ascii="Arial" w:hAnsi="Arial" w:cs="Arial"/>
        <w:bCs/>
        <w:sz w:val="16"/>
        <w:szCs w:val="16"/>
      </w:rPr>
      <w:instrText xml:space="preserve"> PAGE </w:instrText>
    </w:r>
    <w:r w:rsidRPr="0022575A">
      <w:rPr>
        <w:rFonts w:ascii="Arial" w:hAnsi="Arial" w:cs="Arial"/>
        <w:bCs/>
        <w:sz w:val="16"/>
        <w:szCs w:val="16"/>
      </w:rPr>
      <w:fldChar w:fldCharType="separate"/>
    </w:r>
    <w:r w:rsidR="00FA736C">
      <w:rPr>
        <w:rFonts w:ascii="Arial" w:hAnsi="Arial" w:cs="Arial"/>
        <w:bCs/>
        <w:noProof/>
        <w:sz w:val="16"/>
        <w:szCs w:val="16"/>
      </w:rPr>
      <w:t>1</w:t>
    </w:r>
    <w:r w:rsidRPr="0022575A">
      <w:rPr>
        <w:rFonts w:ascii="Arial" w:hAnsi="Arial" w:cs="Arial"/>
        <w:bCs/>
        <w:sz w:val="16"/>
        <w:szCs w:val="16"/>
      </w:rPr>
      <w:fldChar w:fldCharType="end"/>
    </w:r>
    <w:r w:rsidRPr="0022575A">
      <w:rPr>
        <w:rFonts w:ascii="Arial" w:hAnsi="Arial" w:cs="Arial"/>
        <w:sz w:val="16"/>
        <w:szCs w:val="16"/>
      </w:rPr>
      <w:t xml:space="preserve"> of </w:t>
    </w:r>
    <w:r w:rsidRPr="0022575A">
      <w:rPr>
        <w:rFonts w:ascii="Arial" w:hAnsi="Arial" w:cs="Arial"/>
        <w:bCs/>
        <w:sz w:val="16"/>
        <w:szCs w:val="16"/>
      </w:rPr>
      <w:fldChar w:fldCharType="begin"/>
    </w:r>
    <w:r w:rsidRPr="0022575A">
      <w:rPr>
        <w:rFonts w:ascii="Arial" w:hAnsi="Arial" w:cs="Arial"/>
        <w:bCs/>
        <w:sz w:val="16"/>
        <w:szCs w:val="16"/>
      </w:rPr>
      <w:instrText xml:space="preserve"> NUMPAGES  </w:instrText>
    </w:r>
    <w:r w:rsidRPr="0022575A">
      <w:rPr>
        <w:rFonts w:ascii="Arial" w:hAnsi="Arial" w:cs="Arial"/>
        <w:bCs/>
        <w:sz w:val="16"/>
        <w:szCs w:val="16"/>
      </w:rPr>
      <w:fldChar w:fldCharType="separate"/>
    </w:r>
    <w:r w:rsidR="00FA736C">
      <w:rPr>
        <w:rFonts w:ascii="Arial" w:hAnsi="Arial" w:cs="Arial"/>
        <w:bCs/>
        <w:noProof/>
        <w:sz w:val="16"/>
        <w:szCs w:val="16"/>
      </w:rPr>
      <w:t>5</w:t>
    </w:r>
    <w:r w:rsidRPr="0022575A">
      <w:rPr>
        <w:rFonts w:ascii="Arial" w:hAnsi="Arial"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35FD1" w14:textId="77777777" w:rsidR="00F70465" w:rsidRDefault="00F70465" w:rsidP="00407918">
      <w:pPr>
        <w:spacing w:after="0" w:line="240" w:lineRule="auto"/>
      </w:pPr>
      <w:r>
        <w:separator/>
      </w:r>
    </w:p>
  </w:footnote>
  <w:footnote w:type="continuationSeparator" w:id="0">
    <w:p w14:paraId="4E9834FD" w14:textId="77777777" w:rsidR="00F70465" w:rsidRDefault="00F70465" w:rsidP="008C3519">
      <w:pPr>
        <w:spacing w:after="0" w:line="240" w:lineRule="auto"/>
      </w:pPr>
      <w:r>
        <w:separator/>
      </w:r>
    </w:p>
    <w:p w14:paraId="4035A2F4" w14:textId="77777777" w:rsidR="00F70465" w:rsidRPr="008C3519" w:rsidRDefault="00F70465" w:rsidP="008C3519">
      <w:pPr>
        <w:pStyle w:val="Footer"/>
      </w:pPr>
    </w:p>
  </w:footnote>
  <w:footnote w:id="1">
    <w:p w14:paraId="226C2905" w14:textId="77777777" w:rsidR="00FA5492" w:rsidRDefault="00FA5492" w:rsidP="00FA5492">
      <w:pPr>
        <w:pStyle w:val="FootnoteText"/>
        <w:tabs>
          <w:tab w:val="left" w:pos="720"/>
        </w:tabs>
        <w:spacing w:after="60"/>
        <w:ind w:left="360" w:hanging="360"/>
        <w:rPr>
          <w:rFonts w:ascii="Arial" w:hAnsi="Arial" w:cs="Arial"/>
          <w:kern w:val="8"/>
          <w:sz w:val="16"/>
          <w:szCs w:val="16"/>
          <w:lang w:bidi="he-IL"/>
        </w:rPr>
      </w:pPr>
      <w:r>
        <w:rPr>
          <w:rStyle w:val="FootnoteReference"/>
          <w:rFonts w:ascii="Arial" w:hAnsi="Arial" w:cs="Arial"/>
          <w:sz w:val="16"/>
          <w:szCs w:val="16"/>
        </w:rPr>
        <w:footnoteRef/>
      </w:r>
      <w:r>
        <w:rPr>
          <w:rFonts w:ascii="Arial" w:hAnsi="Arial" w:cs="Arial"/>
          <w:sz w:val="16"/>
          <w:szCs w:val="16"/>
        </w:rPr>
        <w:tab/>
        <w:t>The minutes w</w:t>
      </w:r>
      <w:r w:rsidR="003939AC">
        <w:rPr>
          <w:rFonts w:ascii="Arial" w:hAnsi="Arial" w:cs="Arial"/>
          <w:sz w:val="16"/>
          <w:szCs w:val="16"/>
        </w:rPr>
        <w:t>ill be approved at the September 2014</w:t>
      </w:r>
      <w:r>
        <w:rPr>
          <w:rFonts w:ascii="Arial" w:hAnsi="Arial" w:cs="Arial"/>
          <w:sz w:val="16"/>
          <w:szCs w:val="16"/>
        </w:rPr>
        <w:t xml:space="preserve"> IESBA CAG meeting.</w:t>
      </w:r>
    </w:p>
  </w:footnote>
  <w:footnote w:id="2">
    <w:p w14:paraId="2A6E6435" w14:textId="176FF670" w:rsidR="008160A3" w:rsidRPr="003522A9" w:rsidRDefault="008160A3" w:rsidP="008160A3">
      <w:pPr>
        <w:pStyle w:val="FootnoteText"/>
        <w:spacing w:after="60" w:line="240" w:lineRule="exact"/>
        <w:ind w:left="360" w:hanging="360"/>
        <w:jc w:val="both"/>
        <w:rPr>
          <w:rFonts w:ascii="Arial" w:hAnsi="Arial" w:cs="Arial"/>
          <w:sz w:val="16"/>
          <w:szCs w:val="16"/>
        </w:rPr>
      </w:pPr>
      <w:r w:rsidRPr="003522A9">
        <w:rPr>
          <w:rStyle w:val="FootnoteReference"/>
          <w:rFonts w:ascii="Arial" w:hAnsi="Arial" w:cs="Arial"/>
          <w:sz w:val="16"/>
          <w:szCs w:val="16"/>
        </w:rPr>
        <w:footnoteRef/>
      </w:r>
      <w:r w:rsidRPr="003522A9">
        <w:rPr>
          <w:rFonts w:ascii="Arial" w:hAnsi="Arial" w:cs="Arial"/>
          <w:sz w:val="16"/>
          <w:szCs w:val="16"/>
        </w:rPr>
        <w:t xml:space="preserve"> </w:t>
      </w:r>
      <w:r>
        <w:rPr>
          <w:rFonts w:ascii="Arial" w:hAnsi="Arial" w:cs="Arial"/>
          <w:sz w:val="16"/>
          <w:szCs w:val="16"/>
        </w:rPr>
        <w:tab/>
        <w:t xml:space="preserve">ISQC1, </w:t>
      </w:r>
      <w:r w:rsidR="00AF595B">
        <w:rPr>
          <w:rFonts w:ascii="Arial" w:hAnsi="Arial" w:cs="Arial"/>
          <w:i/>
          <w:sz w:val="16"/>
          <w:szCs w:val="16"/>
        </w:rPr>
        <w:t>International Standard on Quality Control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62165" w14:textId="77777777" w:rsidR="00787C6F" w:rsidRPr="00AC561B" w:rsidRDefault="00452219" w:rsidP="000A2B70">
    <w:pPr>
      <w:pStyle w:val="Header"/>
      <w:tabs>
        <w:tab w:val="clear" w:pos="4680"/>
        <w:tab w:val="clear" w:pos="9360"/>
        <w:tab w:val="center" w:pos="4534"/>
        <w:tab w:val="right" w:pos="9067"/>
      </w:tabs>
      <w:spacing w:line="240" w:lineRule="exact"/>
      <w:jc w:val="center"/>
      <w:rPr>
        <w:rFonts w:ascii="Arial" w:eastAsia="Times New Roman" w:hAnsi="Arial" w:cs="Arial"/>
        <w:kern w:val="8"/>
        <w:sz w:val="16"/>
        <w:szCs w:val="16"/>
        <w:lang w:bidi="he-IL"/>
      </w:rPr>
    </w:pPr>
    <w:r>
      <w:rPr>
        <w:rFonts w:ascii="Arial" w:eastAsia="Times New Roman" w:hAnsi="Arial" w:cs="Arial"/>
        <w:kern w:val="8"/>
        <w:sz w:val="16"/>
        <w:szCs w:val="16"/>
        <w:lang w:bidi="he-IL"/>
      </w:rPr>
      <w:t>Long Association</w:t>
    </w:r>
  </w:p>
  <w:p w14:paraId="38DBD651" w14:textId="77777777" w:rsidR="00787C6F" w:rsidRPr="00AC561B" w:rsidRDefault="00787C6F" w:rsidP="000A2B70">
    <w:pPr>
      <w:pStyle w:val="Header"/>
      <w:tabs>
        <w:tab w:val="clear" w:pos="4680"/>
        <w:tab w:val="clear" w:pos="9360"/>
        <w:tab w:val="center" w:pos="4534"/>
        <w:tab w:val="right" w:pos="9067"/>
      </w:tabs>
      <w:spacing w:line="240" w:lineRule="exact"/>
      <w:jc w:val="center"/>
      <w:rPr>
        <w:rFonts w:ascii="Arial" w:eastAsia="Times New Roman" w:hAnsi="Arial" w:cs="Arial"/>
        <w:i/>
        <w:kern w:val="8"/>
        <w:sz w:val="16"/>
        <w:szCs w:val="16"/>
        <w:lang w:bidi="he-IL"/>
      </w:rPr>
    </w:pPr>
    <w:r>
      <w:rPr>
        <w:rFonts w:ascii="Arial" w:eastAsia="Times New Roman" w:hAnsi="Arial" w:cs="Arial"/>
        <w:i/>
        <w:kern w:val="8"/>
        <w:sz w:val="16"/>
        <w:szCs w:val="16"/>
        <w:lang w:bidi="he-IL"/>
      </w:rPr>
      <w:t>IESBA CAG</w:t>
    </w:r>
    <w:r w:rsidR="003939AC">
      <w:rPr>
        <w:rFonts w:ascii="Arial" w:eastAsia="Times New Roman" w:hAnsi="Arial" w:cs="Arial"/>
        <w:i/>
        <w:kern w:val="8"/>
        <w:sz w:val="16"/>
        <w:szCs w:val="16"/>
        <w:lang w:bidi="he-IL"/>
      </w:rPr>
      <w:t xml:space="preserve"> Teleconference</w:t>
    </w:r>
    <w:r>
      <w:rPr>
        <w:rFonts w:ascii="Arial" w:eastAsia="Times New Roman" w:hAnsi="Arial" w:cs="Arial"/>
        <w:i/>
        <w:kern w:val="8"/>
        <w:sz w:val="16"/>
        <w:szCs w:val="16"/>
        <w:lang w:bidi="he-IL"/>
      </w:rPr>
      <w:t xml:space="preserve"> </w:t>
    </w:r>
    <w:r w:rsidRPr="00AC561B">
      <w:rPr>
        <w:rFonts w:ascii="Arial" w:eastAsia="Times New Roman" w:hAnsi="Arial" w:cs="Arial"/>
        <w:i/>
        <w:kern w:val="8"/>
        <w:sz w:val="16"/>
        <w:szCs w:val="16"/>
        <w:lang w:bidi="he-IL"/>
      </w:rPr>
      <w:t>(</w:t>
    </w:r>
    <w:r w:rsidR="003939AC">
      <w:rPr>
        <w:rFonts w:ascii="Arial" w:eastAsia="Times New Roman" w:hAnsi="Arial" w:cs="Arial"/>
        <w:i/>
        <w:kern w:val="8"/>
        <w:sz w:val="16"/>
        <w:szCs w:val="16"/>
        <w:lang w:bidi="he-IL"/>
      </w:rPr>
      <w:t>June</w:t>
    </w:r>
    <w:r>
      <w:rPr>
        <w:rFonts w:ascii="Arial" w:eastAsia="Times New Roman" w:hAnsi="Arial" w:cs="Arial"/>
        <w:i/>
        <w:kern w:val="8"/>
        <w:sz w:val="16"/>
        <w:szCs w:val="16"/>
        <w:lang w:bidi="he-IL"/>
      </w:rPr>
      <w:t xml:space="preserve"> </w:t>
    </w:r>
    <w:r w:rsidRPr="00AC561B">
      <w:rPr>
        <w:rFonts w:ascii="Arial" w:eastAsia="Times New Roman" w:hAnsi="Arial" w:cs="Arial"/>
        <w:i/>
        <w:kern w:val="8"/>
        <w:sz w:val="16"/>
        <w:szCs w:val="16"/>
        <w:lang w:bidi="he-IL"/>
      </w:rPr>
      <w:t>201</w:t>
    </w:r>
    <w:r w:rsidR="00CC3D43">
      <w:rPr>
        <w:rFonts w:ascii="Arial" w:eastAsia="Times New Roman" w:hAnsi="Arial" w:cs="Arial"/>
        <w:i/>
        <w:kern w:val="8"/>
        <w:sz w:val="16"/>
        <w:szCs w:val="16"/>
        <w:lang w:bidi="he-IL"/>
      </w:rPr>
      <w:t>4</w:t>
    </w:r>
    <w:r w:rsidRPr="00AC561B">
      <w:rPr>
        <w:rFonts w:ascii="Arial" w:eastAsia="Times New Roman" w:hAnsi="Arial" w:cs="Arial"/>
        <w:i/>
        <w:kern w:val="8"/>
        <w:sz w:val="16"/>
        <w:szCs w:val="16"/>
        <w:lang w:bidi="he-IL"/>
      </w:rPr>
      <w:t>)</w:t>
    </w:r>
  </w:p>
  <w:p w14:paraId="64B9A4DC" w14:textId="77777777" w:rsidR="00787C6F" w:rsidRDefault="00787C6F" w:rsidP="004348AD">
    <w:pPr>
      <w:pStyle w:val="Header"/>
      <w:tabs>
        <w:tab w:val="clear" w:pos="4680"/>
        <w:tab w:val="clear" w:pos="9360"/>
        <w:tab w:val="center" w:pos="4534"/>
        <w:tab w:val="right" w:pos="9067"/>
      </w:tabs>
      <w:spacing w:line="240" w:lineRule="exact"/>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44461" w14:textId="77777777" w:rsidR="00787C6F" w:rsidRDefault="00787C6F" w:rsidP="00D9336F">
    <w:pPr>
      <w:pStyle w:val="Header"/>
      <w:jc w:val="center"/>
      <w:rPr>
        <w:rFonts w:ascii="Arial" w:hAnsi="Arial" w:cs="Arial"/>
        <w:b/>
        <w:sz w:val="36"/>
        <w:szCs w:val="36"/>
      </w:rPr>
    </w:pPr>
    <w:r>
      <w:rPr>
        <w:noProof/>
      </w:rPr>
      <w:drawing>
        <wp:inline distT="0" distB="0" distL="0" distR="0" wp14:anchorId="395D800A" wp14:editId="5305D93F">
          <wp:extent cx="5943600" cy="595824"/>
          <wp:effectExtent l="0" t="0" r="0" b="0"/>
          <wp:docPr id="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FAC_logo_name_rgb_15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958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38C5"/>
    <w:multiLevelType w:val="hybridMultilevel"/>
    <w:tmpl w:val="41385B8E"/>
    <w:lvl w:ilvl="0" w:tplc="8B886F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0F55"/>
    <w:multiLevelType w:val="hybridMultilevel"/>
    <w:tmpl w:val="DEF89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A4D5C"/>
    <w:multiLevelType w:val="hybridMultilevel"/>
    <w:tmpl w:val="2FF4F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D6D72"/>
    <w:multiLevelType w:val="hybridMultilevel"/>
    <w:tmpl w:val="8BA0F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B80964"/>
    <w:multiLevelType w:val="hybridMultilevel"/>
    <w:tmpl w:val="6DF82FE6"/>
    <w:lvl w:ilvl="0" w:tplc="8B886F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BB11AA"/>
    <w:multiLevelType w:val="multilevel"/>
    <w:tmpl w:val="C402F924"/>
    <w:lvl w:ilvl="0">
      <w:start w:val="1"/>
      <w:numFmt w:val="decimal"/>
      <w:pStyle w:val="IFACListStyle1"/>
      <w:lvlText w:val="%1."/>
      <w:lvlJc w:val="left"/>
      <w:pPr>
        <w:ind w:left="547" w:hanging="547"/>
      </w:pPr>
      <w:rPr>
        <w:rFonts w:ascii="Times New Roman" w:hAnsi="Times New Roman" w:hint="default"/>
        <w:sz w:val="24"/>
      </w:rPr>
    </w:lvl>
    <w:lvl w:ilvl="1">
      <w:start w:val="1"/>
      <w:numFmt w:val="lowerLetter"/>
      <w:pStyle w:val="IFACListStyle2"/>
      <w:lvlText w:val="(%2)"/>
      <w:lvlJc w:val="left"/>
      <w:pPr>
        <w:ind w:left="1094" w:hanging="547"/>
      </w:pPr>
      <w:rPr>
        <w:rFonts w:hint="default"/>
      </w:rPr>
    </w:lvl>
    <w:lvl w:ilvl="2">
      <w:start w:val="1"/>
      <w:numFmt w:val="lowerRoman"/>
      <w:pStyle w:val="IFACListStyle3"/>
      <w:lvlText w:val="(%3)"/>
      <w:lvlJc w:val="left"/>
      <w:pPr>
        <w:ind w:left="1641" w:hanging="547"/>
      </w:pPr>
      <w:rPr>
        <w:rFonts w:hint="default"/>
      </w:rPr>
    </w:lvl>
    <w:lvl w:ilvl="3">
      <w:start w:val="1"/>
      <w:numFmt w:val="lowerLetter"/>
      <w:pStyle w:val="IFACListStyle4"/>
      <w:lvlText w:val="%4."/>
      <w:lvlJc w:val="left"/>
      <w:pPr>
        <w:ind w:left="2188" w:hanging="547"/>
      </w:pPr>
      <w:rPr>
        <w:rFonts w:hint="default"/>
      </w:rPr>
    </w:lvl>
    <w:lvl w:ilvl="4">
      <w:start w:val="1"/>
      <w:numFmt w:val="lowerRoman"/>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6">
    <w:nsid w:val="12404A68"/>
    <w:multiLevelType w:val="hybridMultilevel"/>
    <w:tmpl w:val="D17E4856"/>
    <w:lvl w:ilvl="0" w:tplc="86D62256">
      <w:start w:val="1"/>
      <w:numFmt w:val="lowerLetter"/>
      <w:lvlText w:val="%1)"/>
      <w:lvlJc w:val="left"/>
      <w:pPr>
        <w:ind w:left="1264" w:hanging="360"/>
      </w:pPr>
      <w:rPr>
        <w:i w:val="0"/>
      </w:rPr>
    </w:lvl>
    <w:lvl w:ilvl="1" w:tplc="10090019" w:tentative="1">
      <w:start w:val="1"/>
      <w:numFmt w:val="lowerLetter"/>
      <w:lvlText w:val="%2."/>
      <w:lvlJc w:val="left"/>
      <w:pPr>
        <w:ind w:left="1984" w:hanging="360"/>
      </w:pPr>
    </w:lvl>
    <w:lvl w:ilvl="2" w:tplc="1009001B" w:tentative="1">
      <w:start w:val="1"/>
      <w:numFmt w:val="lowerRoman"/>
      <w:lvlText w:val="%3."/>
      <w:lvlJc w:val="right"/>
      <w:pPr>
        <w:ind w:left="2704" w:hanging="180"/>
      </w:pPr>
    </w:lvl>
    <w:lvl w:ilvl="3" w:tplc="1009000F" w:tentative="1">
      <w:start w:val="1"/>
      <w:numFmt w:val="decimal"/>
      <w:lvlText w:val="%4."/>
      <w:lvlJc w:val="left"/>
      <w:pPr>
        <w:ind w:left="3424" w:hanging="360"/>
      </w:pPr>
    </w:lvl>
    <w:lvl w:ilvl="4" w:tplc="10090019" w:tentative="1">
      <w:start w:val="1"/>
      <w:numFmt w:val="lowerLetter"/>
      <w:lvlText w:val="%5."/>
      <w:lvlJc w:val="left"/>
      <w:pPr>
        <w:ind w:left="4144" w:hanging="360"/>
      </w:pPr>
    </w:lvl>
    <w:lvl w:ilvl="5" w:tplc="1009001B" w:tentative="1">
      <w:start w:val="1"/>
      <w:numFmt w:val="lowerRoman"/>
      <w:lvlText w:val="%6."/>
      <w:lvlJc w:val="right"/>
      <w:pPr>
        <w:ind w:left="4864" w:hanging="180"/>
      </w:pPr>
    </w:lvl>
    <w:lvl w:ilvl="6" w:tplc="1009000F" w:tentative="1">
      <w:start w:val="1"/>
      <w:numFmt w:val="decimal"/>
      <w:lvlText w:val="%7."/>
      <w:lvlJc w:val="left"/>
      <w:pPr>
        <w:ind w:left="5584" w:hanging="360"/>
      </w:pPr>
    </w:lvl>
    <w:lvl w:ilvl="7" w:tplc="10090019" w:tentative="1">
      <w:start w:val="1"/>
      <w:numFmt w:val="lowerLetter"/>
      <w:lvlText w:val="%8."/>
      <w:lvlJc w:val="left"/>
      <w:pPr>
        <w:ind w:left="6304" w:hanging="360"/>
      </w:pPr>
    </w:lvl>
    <w:lvl w:ilvl="8" w:tplc="1009001B" w:tentative="1">
      <w:start w:val="1"/>
      <w:numFmt w:val="lowerRoman"/>
      <w:lvlText w:val="%9."/>
      <w:lvlJc w:val="right"/>
      <w:pPr>
        <w:ind w:left="7024" w:hanging="180"/>
      </w:pPr>
    </w:lvl>
  </w:abstractNum>
  <w:abstractNum w:abstractNumId="7">
    <w:nsid w:val="17332972"/>
    <w:multiLevelType w:val="hybridMultilevel"/>
    <w:tmpl w:val="3066183A"/>
    <w:lvl w:ilvl="0" w:tplc="04090001">
      <w:start w:val="1"/>
      <w:numFmt w:val="bullet"/>
      <w:lvlText w:val=""/>
      <w:lvlJc w:val="left"/>
      <w:pPr>
        <w:ind w:left="1080" w:hanging="360"/>
      </w:pPr>
      <w:rPr>
        <w:rFonts w:ascii="Symbol" w:hAnsi="Symbol" w:hint="default"/>
        <w:sz w:val="20"/>
        <w:szCs w:val="20"/>
      </w:rPr>
    </w:lvl>
    <w:lvl w:ilvl="1" w:tplc="04090019">
      <w:start w:val="1"/>
      <w:numFmt w:val="lowerLetter"/>
      <w:lvlText w:val="%2."/>
      <w:lvlJc w:val="left"/>
      <w:pPr>
        <w:ind w:left="1800" w:hanging="360"/>
      </w:pPr>
    </w:lvl>
    <w:lvl w:ilvl="2" w:tplc="E7727DD4">
      <w:start w:val="1"/>
      <w:numFmt w:val="lowerRoman"/>
      <w:lvlText w:val="(%3)"/>
      <w:lvlJc w:val="left"/>
      <w:pPr>
        <w:ind w:left="180" w:hanging="180"/>
      </w:pPr>
      <w:rPr>
        <w:rFonts w:hint="default"/>
        <w:b w:val="0"/>
        <w:i w:val="0"/>
        <w:sz w:val="20"/>
        <w:szCs w:val="20"/>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9C2076"/>
    <w:multiLevelType w:val="hybridMultilevel"/>
    <w:tmpl w:val="F828A714"/>
    <w:lvl w:ilvl="0" w:tplc="78E088EA">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2256711B"/>
    <w:multiLevelType w:val="hybridMultilevel"/>
    <w:tmpl w:val="BB3C6CB0"/>
    <w:lvl w:ilvl="0" w:tplc="8B886F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5C7B84"/>
    <w:multiLevelType w:val="hybridMultilevel"/>
    <w:tmpl w:val="982A0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1B0B3E"/>
    <w:multiLevelType w:val="hybridMultilevel"/>
    <w:tmpl w:val="05B2F0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C810FB6"/>
    <w:multiLevelType w:val="hybridMultilevel"/>
    <w:tmpl w:val="46EADC52"/>
    <w:lvl w:ilvl="0" w:tplc="B1C2E3DE">
      <w:start w:val="1"/>
      <w:numFmt w:val="lowerLetter"/>
      <w:lvlText w:val="%1)"/>
      <w:lvlJc w:val="left"/>
      <w:pPr>
        <w:ind w:left="720" w:hanging="360"/>
      </w:pPr>
      <w:rPr>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D030D36"/>
    <w:multiLevelType w:val="hybridMultilevel"/>
    <w:tmpl w:val="E6A85826"/>
    <w:lvl w:ilvl="0" w:tplc="E7288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4A4537"/>
    <w:multiLevelType w:val="hybridMultilevel"/>
    <w:tmpl w:val="66F41538"/>
    <w:lvl w:ilvl="0" w:tplc="4C364768">
      <w:start w:val="1"/>
      <w:numFmt w:val="bullet"/>
      <w:lvlText w:val="o"/>
      <w:lvlJc w:val="left"/>
      <w:pPr>
        <w:ind w:left="1242" w:hanging="360"/>
      </w:pPr>
      <w:rPr>
        <w:rFonts w:ascii="Courier New" w:hAnsi="Courier New" w:cs="Courier New" w:hint="default"/>
        <w:sz w:val="18"/>
        <w:szCs w:val="18"/>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5">
    <w:nsid w:val="331E4648"/>
    <w:multiLevelType w:val="hybridMultilevel"/>
    <w:tmpl w:val="BDACED14"/>
    <w:lvl w:ilvl="0" w:tplc="D1BE2238">
      <w:start w:val="1"/>
      <w:numFmt w:val="decimal"/>
      <w:lvlText w:val="%1."/>
      <w:lvlJc w:val="left"/>
      <w:pPr>
        <w:ind w:left="1170" w:hanging="720"/>
      </w:pPr>
      <w:rPr>
        <w:rFonts w:ascii="Arial" w:hAnsi="Arial" w:cs="Arial" w:hint="default"/>
        <w:b w:val="0"/>
        <w:i w:val="0"/>
        <w:sz w:val="20"/>
        <w:szCs w:val="20"/>
      </w:rPr>
    </w:lvl>
    <w:lvl w:ilvl="1" w:tplc="E9EEF8BC">
      <w:start w:val="1"/>
      <w:numFmt w:val="lowerLetter"/>
      <w:lvlText w:val="(%2)"/>
      <w:lvlJc w:val="left"/>
      <w:pPr>
        <w:ind w:left="1987" w:hanging="360"/>
      </w:pPr>
      <w:rPr>
        <w:rFonts w:hint="default"/>
        <w:sz w:val="20"/>
        <w:szCs w:val="20"/>
      </w:rPr>
    </w:lvl>
    <w:lvl w:ilvl="2" w:tplc="0409001B">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6">
    <w:nsid w:val="36CF72F5"/>
    <w:multiLevelType w:val="hybridMultilevel"/>
    <w:tmpl w:val="CDA4B298"/>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
    <w:nsid w:val="37B840C5"/>
    <w:multiLevelType w:val="hybridMultilevel"/>
    <w:tmpl w:val="9EE8B59E"/>
    <w:lvl w:ilvl="0" w:tplc="CA6C2CAE">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9E3F97"/>
    <w:multiLevelType w:val="hybridMultilevel"/>
    <w:tmpl w:val="428A0548"/>
    <w:lvl w:ilvl="0" w:tplc="FC2A804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B46FA4"/>
    <w:multiLevelType w:val="hybridMultilevel"/>
    <w:tmpl w:val="3F5E553E"/>
    <w:lvl w:ilvl="0" w:tplc="A268108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C934AE"/>
    <w:multiLevelType w:val="hybridMultilevel"/>
    <w:tmpl w:val="6E6CC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273E23"/>
    <w:multiLevelType w:val="hybridMultilevel"/>
    <w:tmpl w:val="E7BA7720"/>
    <w:lvl w:ilvl="0" w:tplc="DC1E14D6">
      <w:start w:val="1"/>
      <w:numFmt w:val="decimal"/>
      <w:lvlText w:val="%1."/>
      <w:lvlJc w:val="left"/>
      <w:pPr>
        <w:ind w:left="720" w:hanging="720"/>
      </w:pPr>
      <w:rPr>
        <w:rFonts w:ascii="Times New Roman" w:hAnsi="Times New Roman" w:cs="Times New Roman" w:hint="default"/>
        <w:b w:val="0"/>
        <w:i w:val="0"/>
        <w:sz w:val="24"/>
        <w:szCs w:val="24"/>
      </w:rPr>
    </w:lvl>
    <w:lvl w:ilvl="1" w:tplc="E9EEF8BC">
      <w:start w:val="1"/>
      <w:numFmt w:val="lowerLetter"/>
      <w:lvlText w:val="(%2)"/>
      <w:lvlJc w:val="left"/>
      <w:pPr>
        <w:ind w:left="1987" w:hanging="360"/>
      </w:pPr>
      <w:rPr>
        <w:rFonts w:hint="default"/>
        <w:sz w:val="20"/>
        <w:szCs w:val="20"/>
      </w:rPr>
    </w:lvl>
    <w:lvl w:ilvl="2" w:tplc="0409001B">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2">
    <w:nsid w:val="4B69402E"/>
    <w:multiLevelType w:val="hybridMultilevel"/>
    <w:tmpl w:val="DC2C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A4DA8"/>
    <w:multiLevelType w:val="hybridMultilevel"/>
    <w:tmpl w:val="49CEE00C"/>
    <w:lvl w:ilvl="0" w:tplc="1AE66DE0">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4C65FB"/>
    <w:multiLevelType w:val="hybridMultilevel"/>
    <w:tmpl w:val="2C38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857E61"/>
    <w:multiLevelType w:val="hybridMultilevel"/>
    <w:tmpl w:val="55AACF2E"/>
    <w:lvl w:ilvl="0" w:tplc="8A486BA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D6E1BAC"/>
    <w:multiLevelType w:val="hybridMultilevel"/>
    <w:tmpl w:val="7FC88C3E"/>
    <w:lvl w:ilvl="0" w:tplc="04090015">
      <w:start w:val="1"/>
      <w:numFmt w:val="upperLetter"/>
      <w:lvlText w:val="%1."/>
      <w:lvlJc w:val="left"/>
      <w:pPr>
        <w:ind w:left="720" w:hanging="360"/>
      </w:pPr>
      <w:rPr>
        <w:rFonts w:hint="default"/>
      </w:rPr>
    </w:lvl>
    <w:lvl w:ilvl="1" w:tplc="9A22B79A">
      <w:start w:val="1"/>
      <w:numFmt w:val="lowerLetter"/>
      <w:lvlText w:val="(%2)"/>
      <w:lvlJc w:val="left"/>
      <w:pPr>
        <w:ind w:left="1545" w:hanging="46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95008E"/>
    <w:multiLevelType w:val="hybridMultilevel"/>
    <w:tmpl w:val="D00CF2D2"/>
    <w:lvl w:ilvl="0" w:tplc="147C2D7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5151615"/>
    <w:multiLevelType w:val="hybridMultilevel"/>
    <w:tmpl w:val="7BB09144"/>
    <w:lvl w:ilvl="0" w:tplc="5BDEA76A">
      <w:start w:val="1"/>
      <w:numFmt w:val="decimal"/>
      <w:lvlText w:val="%1."/>
      <w:lvlJc w:val="left"/>
      <w:pPr>
        <w:ind w:left="8370" w:hanging="360"/>
      </w:pPr>
      <w:rPr>
        <w:rFonts w:hint="default"/>
        <w:b w:val="0"/>
        <w:i w:val="0"/>
      </w:rPr>
    </w:lvl>
    <w:lvl w:ilvl="1" w:tplc="A15E2444">
      <w:start w:val="1"/>
      <w:numFmt w:val="bullet"/>
      <w:lvlText w:val=""/>
      <w:lvlJc w:val="left"/>
      <w:pPr>
        <w:ind w:left="1440" w:hanging="360"/>
      </w:pPr>
      <w:rPr>
        <w:rFonts w:ascii="Symbol" w:hAnsi="Symbol" w:hint="default"/>
        <w:sz w:val="20"/>
        <w:szCs w:val="20"/>
      </w:rPr>
    </w:lvl>
    <w:lvl w:ilvl="2" w:tplc="45D0C4D8">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9B2D74"/>
    <w:multiLevelType w:val="hybridMultilevel"/>
    <w:tmpl w:val="E280FBF8"/>
    <w:lvl w:ilvl="0" w:tplc="3F66B90E">
      <w:start w:val="1"/>
      <w:numFmt w:val="bullet"/>
      <w:lvlText w:val=""/>
      <w:lvlJc w:val="left"/>
      <w:pPr>
        <w:ind w:left="360" w:hanging="360"/>
      </w:pPr>
      <w:rPr>
        <w:rFonts w:ascii="Symbol" w:hAnsi="Symbol" w:hint="default"/>
        <w:b w:val="0"/>
        <w:i w:val="0"/>
        <w:sz w:val="20"/>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F77800"/>
    <w:multiLevelType w:val="hybridMultilevel"/>
    <w:tmpl w:val="C9C2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A62598"/>
    <w:multiLevelType w:val="hybridMultilevel"/>
    <w:tmpl w:val="A798FBAC"/>
    <w:lvl w:ilvl="0" w:tplc="CA6C2CA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5012A"/>
    <w:multiLevelType w:val="hybridMultilevel"/>
    <w:tmpl w:val="B9CE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A8789E"/>
    <w:multiLevelType w:val="hybridMultilevel"/>
    <w:tmpl w:val="474A2F02"/>
    <w:lvl w:ilvl="0" w:tplc="4EF09BB4">
      <w:start w:val="1"/>
      <w:numFmt w:val="lowerRoman"/>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4">
    <w:nsid w:val="712C64A0"/>
    <w:multiLevelType w:val="hybridMultilevel"/>
    <w:tmpl w:val="98AA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C92727"/>
    <w:multiLevelType w:val="hybridMultilevel"/>
    <w:tmpl w:val="FD2C0AB0"/>
    <w:lvl w:ilvl="0" w:tplc="D1BE2238">
      <w:start w:val="1"/>
      <w:numFmt w:val="decimal"/>
      <w:lvlText w:val="%1."/>
      <w:lvlJc w:val="left"/>
      <w:pPr>
        <w:ind w:left="1170" w:hanging="720"/>
      </w:pPr>
      <w:rPr>
        <w:rFonts w:ascii="Arial" w:hAnsi="Arial" w:cs="Arial" w:hint="default"/>
        <w:b w:val="0"/>
        <w:i w:val="0"/>
        <w:sz w:val="20"/>
        <w:szCs w:val="20"/>
      </w:rPr>
    </w:lvl>
    <w:lvl w:ilvl="1" w:tplc="E9EEF8BC">
      <w:start w:val="1"/>
      <w:numFmt w:val="lowerLetter"/>
      <w:lvlText w:val="(%2)"/>
      <w:lvlJc w:val="left"/>
      <w:pPr>
        <w:ind w:left="1987" w:hanging="360"/>
      </w:pPr>
      <w:rPr>
        <w:rFonts w:hint="default"/>
        <w:sz w:val="20"/>
        <w:szCs w:val="20"/>
      </w:rPr>
    </w:lvl>
    <w:lvl w:ilvl="2" w:tplc="0409001B">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num w:numId="1">
    <w:abstractNumId w:val="7"/>
  </w:num>
  <w:num w:numId="2">
    <w:abstractNumId w:val="25"/>
  </w:num>
  <w:num w:numId="3">
    <w:abstractNumId w:val="35"/>
  </w:num>
  <w:num w:numId="4">
    <w:abstractNumId w:val="5"/>
  </w:num>
  <w:num w:numId="5">
    <w:abstractNumId w:val="18"/>
  </w:num>
  <w:num w:numId="6">
    <w:abstractNumId w:val="14"/>
  </w:num>
  <w:num w:numId="7">
    <w:abstractNumId w:val="21"/>
  </w:num>
  <w:num w:numId="8">
    <w:abstractNumId w:val="15"/>
  </w:num>
  <w:num w:numId="9">
    <w:abstractNumId w:val="29"/>
  </w:num>
  <w:num w:numId="10">
    <w:abstractNumId w:val="8"/>
  </w:num>
  <w:num w:numId="11">
    <w:abstractNumId w:val="12"/>
  </w:num>
  <w:num w:numId="12">
    <w:abstractNumId w:val="6"/>
  </w:num>
  <w:num w:numId="13">
    <w:abstractNumId w:val="20"/>
  </w:num>
  <w:num w:numId="14">
    <w:abstractNumId w:val="11"/>
  </w:num>
  <w:num w:numId="15">
    <w:abstractNumId w:val="10"/>
  </w:num>
  <w:num w:numId="16">
    <w:abstractNumId w:val="30"/>
  </w:num>
  <w:num w:numId="17">
    <w:abstractNumId w:val="0"/>
  </w:num>
  <w:num w:numId="18">
    <w:abstractNumId w:val="32"/>
  </w:num>
  <w:num w:numId="19">
    <w:abstractNumId w:val="24"/>
  </w:num>
  <w:num w:numId="20">
    <w:abstractNumId w:val="28"/>
  </w:num>
  <w:num w:numId="21">
    <w:abstractNumId w:val="26"/>
  </w:num>
  <w:num w:numId="22">
    <w:abstractNumId w:val="3"/>
  </w:num>
  <w:num w:numId="23">
    <w:abstractNumId w:val="22"/>
  </w:num>
  <w:num w:numId="24">
    <w:abstractNumId w:val="9"/>
  </w:num>
  <w:num w:numId="25">
    <w:abstractNumId w:val="4"/>
  </w:num>
  <w:num w:numId="26">
    <w:abstractNumId w:val="33"/>
  </w:num>
  <w:num w:numId="27">
    <w:abstractNumId w:val="16"/>
  </w:num>
  <w:num w:numId="28">
    <w:abstractNumId w:val="13"/>
  </w:num>
  <w:num w:numId="29">
    <w:abstractNumId w:val="27"/>
  </w:num>
  <w:num w:numId="30">
    <w:abstractNumId w:val="1"/>
  </w:num>
  <w:num w:numId="31">
    <w:abstractNumId w:val="19"/>
  </w:num>
  <w:num w:numId="32">
    <w:abstractNumId w:val="2"/>
  </w:num>
  <w:num w:numId="33">
    <w:abstractNumId w:val="17"/>
  </w:num>
  <w:num w:numId="34">
    <w:abstractNumId w:val="31"/>
  </w:num>
  <w:num w:numId="35">
    <w:abstractNumId w:val="23"/>
  </w:num>
  <w:num w:numId="36">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555"/>
    <w:rsid w:val="0000203C"/>
    <w:rsid w:val="0000750C"/>
    <w:rsid w:val="000109A8"/>
    <w:rsid w:val="0001458C"/>
    <w:rsid w:val="00016304"/>
    <w:rsid w:val="00016968"/>
    <w:rsid w:val="00016FA8"/>
    <w:rsid w:val="00020210"/>
    <w:rsid w:val="00020779"/>
    <w:rsid w:val="000253A9"/>
    <w:rsid w:val="0002653F"/>
    <w:rsid w:val="000265EB"/>
    <w:rsid w:val="00027EE0"/>
    <w:rsid w:val="00027EF8"/>
    <w:rsid w:val="00030565"/>
    <w:rsid w:val="000312C9"/>
    <w:rsid w:val="00031FB0"/>
    <w:rsid w:val="00033DF4"/>
    <w:rsid w:val="00035736"/>
    <w:rsid w:val="00035EBA"/>
    <w:rsid w:val="00037F94"/>
    <w:rsid w:val="000400D6"/>
    <w:rsid w:val="000407AE"/>
    <w:rsid w:val="000435D3"/>
    <w:rsid w:val="00044FEA"/>
    <w:rsid w:val="00046524"/>
    <w:rsid w:val="00046594"/>
    <w:rsid w:val="00046A2E"/>
    <w:rsid w:val="00046CE4"/>
    <w:rsid w:val="00047912"/>
    <w:rsid w:val="0005037E"/>
    <w:rsid w:val="00050661"/>
    <w:rsid w:val="00053C38"/>
    <w:rsid w:val="00054B72"/>
    <w:rsid w:val="00056C36"/>
    <w:rsid w:val="000577EC"/>
    <w:rsid w:val="00060B9F"/>
    <w:rsid w:val="000627B7"/>
    <w:rsid w:val="000629DE"/>
    <w:rsid w:val="00062CE5"/>
    <w:rsid w:val="000634B9"/>
    <w:rsid w:val="00063DA0"/>
    <w:rsid w:val="000701C3"/>
    <w:rsid w:val="00072C9A"/>
    <w:rsid w:val="000750A5"/>
    <w:rsid w:val="0007767A"/>
    <w:rsid w:val="00080080"/>
    <w:rsid w:val="00080B84"/>
    <w:rsid w:val="00080D4B"/>
    <w:rsid w:val="00081F27"/>
    <w:rsid w:val="000826A7"/>
    <w:rsid w:val="000934D8"/>
    <w:rsid w:val="000936AF"/>
    <w:rsid w:val="00093D8D"/>
    <w:rsid w:val="000944EF"/>
    <w:rsid w:val="00097A33"/>
    <w:rsid w:val="000A2B70"/>
    <w:rsid w:val="000A3832"/>
    <w:rsid w:val="000A5239"/>
    <w:rsid w:val="000A641E"/>
    <w:rsid w:val="000B21FD"/>
    <w:rsid w:val="000B2D1E"/>
    <w:rsid w:val="000B36B9"/>
    <w:rsid w:val="000B5849"/>
    <w:rsid w:val="000B5FBB"/>
    <w:rsid w:val="000B6C8B"/>
    <w:rsid w:val="000B727E"/>
    <w:rsid w:val="000B73E6"/>
    <w:rsid w:val="000B7BFC"/>
    <w:rsid w:val="000C1502"/>
    <w:rsid w:val="000C1E9B"/>
    <w:rsid w:val="000C25C9"/>
    <w:rsid w:val="000C2EF4"/>
    <w:rsid w:val="000C3451"/>
    <w:rsid w:val="000C393E"/>
    <w:rsid w:val="000C4E27"/>
    <w:rsid w:val="000C4FC7"/>
    <w:rsid w:val="000C50DD"/>
    <w:rsid w:val="000C5B53"/>
    <w:rsid w:val="000C5C94"/>
    <w:rsid w:val="000C5CAC"/>
    <w:rsid w:val="000D08E0"/>
    <w:rsid w:val="000D211D"/>
    <w:rsid w:val="000D42AB"/>
    <w:rsid w:val="000D4367"/>
    <w:rsid w:val="000D442A"/>
    <w:rsid w:val="000D46F0"/>
    <w:rsid w:val="000D583C"/>
    <w:rsid w:val="000D7C67"/>
    <w:rsid w:val="000E355A"/>
    <w:rsid w:val="000E42EA"/>
    <w:rsid w:val="000E4446"/>
    <w:rsid w:val="000E4FEB"/>
    <w:rsid w:val="000E5BD2"/>
    <w:rsid w:val="000E6099"/>
    <w:rsid w:val="000F14AA"/>
    <w:rsid w:val="000F1675"/>
    <w:rsid w:val="000F2736"/>
    <w:rsid w:val="000F42C1"/>
    <w:rsid w:val="000F4921"/>
    <w:rsid w:val="000F5221"/>
    <w:rsid w:val="000F7187"/>
    <w:rsid w:val="00100AD2"/>
    <w:rsid w:val="00105446"/>
    <w:rsid w:val="00107368"/>
    <w:rsid w:val="00112686"/>
    <w:rsid w:val="00112B59"/>
    <w:rsid w:val="001143B9"/>
    <w:rsid w:val="00120EB1"/>
    <w:rsid w:val="00122EA3"/>
    <w:rsid w:val="00123D07"/>
    <w:rsid w:val="00126365"/>
    <w:rsid w:val="00127956"/>
    <w:rsid w:val="00127BA1"/>
    <w:rsid w:val="0013086C"/>
    <w:rsid w:val="00131DFE"/>
    <w:rsid w:val="00135828"/>
    <w:rsid w:val="00140102"/>
    <w:rsid w:val="001402D5"/>
    <w:rsid w:val="0014197F"/>
    <w:rsid w:val="0014327B"/>
    <w:rsid w:val="00144613"/>
    <w:rsid w:val="00144D7F"/>
    <w:rsid w:val="00147A17"/>
    <w:rsid w:val="00147D67"/>
    <w:rsid w:val="001517E3"/>
    <w:rsid w:val="00155F63"/>
    <w:rsid w:val="00156B2A"/>
    <w:rsid w:val="00157EF6"/>
    <w:rsid w:val="00160CEB"/>
    <w:rsid w:val="001610F8"/>
    <w:rsid w:val="00161239"/>
    <w:rsid w:val="001612B5"/>
    <w:rsid w:val="00161C46"/>
    <w:rsid w:val="00162F4C"/>
    <w:rsid w:val="001707A0"/>
    <w:rsid w:val="00171FFF"/>
    <w:rsid w:val="00172F54"/>
    <w:rsid w:val="00175647"/>
    <w:rsid w:val="00176340"/>
    <w:rsid w:val="0017641F"/>
    <w:rsid w:val="00176A8D"/>
    <w:rsid w:val="00177FAB"/>
    <w:rsid w:val="00181DA6"/>
    <w:rsid w:val="00182E22"/>
    <w:rsid w:val="00183913"/>
    <w:rsid w:val="00183D36"/>
    <w:rsid w:val="0018539A"/>
    <w:rsid w:val="00186357"/>
    <w:rsid w:val="00187751"/>
    <w:rsid w:val="00190132"/>
    <w:rsid w:val="0019067D"/>
    <w:rsid w:val="0019127F"/>
    <w:rsid w:val="001920E7"/>
    <w:rsid w:val="0019374D"/>
    <w:rsid w:val="00195E8F"/>
    <w:rsid w:val="001968A0"/>
    <w:rsid w:val="00197FA6"/>
    <w:rsid w:val="001A07EA"/>
    <w:rsid w:val="001A093E"/>
    <w:rsid w:val="001A0E32"/>
    <w:rsid w:val="001A1333"/>
    <w:rsid w:val="001A3488"/>
    <w:rsid w:val="001A427F"/>
    <w:rsid w:val="001A5986"/>
    <w:rsid w:val="001A5D27"/>
    <w:rsid w:val="001A63E6"/>
    <w:rsid w:val="001A666A"/>
    <w:rsid w:val="001A7001"/>
    <w:rsid w:val="001B05D2"/>
    <w:rsid w:val="001B17FF"/>
    <w:rsid w:val="001B2211"/>
    <w:rsid w:val="001B2A68"/>
    <w:rsid w:val="001B4C56"/>
    <w:rsid w:val="001B4D55"/>
    <w:rsid w:val="001B7A70"/>
    <w:rsid w:val="001C392A"/>
    <w:rsid w:val="001C6B4C"/>
    <w:rsid w:val="001C70FE"/>
    <w:rsid w:val="001C7F1A"/>
    <w:rsid w:val="001D53DF"/>
    <w:rsid w:val="001D5C46"/>
    <w:rsid w:val="001D6B6A"/>
    <w:rsid w:val="001E0240"/>
    <w:rsid w:val="001E07C6"/>
    <w:rsid w:val="001E0A98"/>
    <w:rsid w:val="001E1EA5"/>
    <w:rsid w:val="001E3BD2"/>
    <w:rsid w:val="001E4241"/>
    <w:rsid w:val="001E60C8"/>
    <w:rsid w:val="001E64B6"/>
    <w:rsid w:val="001F0819"/>
    <w:rsid w:val="001F1CB8"/>
    <w:rsid w:val="001F2E0E"/>
    <w:rsid w:val="001F33AE"/>
    <w:rsid w:val="001F56AA"/>
    <w:rsid w:val="001F7A0A"/>
    <w:rsid w:val="001F7AA8"/>
    <w:rsid w:val="001F7F48"/>
    <w:rsid w:val="0020167F"/>
    <w:rsid w:val="00201CED"/>
    <w:rsid w:val="00202EC0"/>
    <w:rsid w:val="00204C4F"/>
    <w:rsid w:val="00205857"/>
    <w:rsid w:val="002075C5"/>
    <w:rsid w:val="0020766D"/>
    <w:rsid w:val="00210A8E"/>
    <w:rsid w:val="00212E25"/>
    <w:rsid w:val="002145CA"/>
    <w:rsid w:val="00214B59"/>
    <w:rsid w:val="00215296"/>
    <w:rsid w:val="00216A3D"/>
    <w:rsid w:val="0021783C"/>
    <w:rsid w:val="00220D7B"/>
    <w:rsid w:val="00221B26"/>
    <w:rsid w:val="00221E92"/>
    <w:rsid w:val="00224E5F"/>
    <w:rsid w:val="0022575A"/>
    <w:rsid w:val="002259E1"/>
    <w:rsid w:val="00230800"/>
    <w:rsid w:val="00231092"/>
    <w:rsid w:val="00233730"/>
    <w:rsid w:val="00235B7C"/>
    <w:rsid w:val="0024002B"/>
    <w:rsid w:val="00240974"/>
    <w:rsid w:val="00240CD9"/>
    <w:rsid w:val="00241204"/>
    <w:rsid w:val="0024139C"/>
    <w:rsid w:val="00241866"/>
    <w:rsid w:val="002429B9"/>
    <w:rsid w:val="00242DD3"/>
    <w:rsid w:val="002430CD"/>
    <w:rsid w:val="0024393C"/>
    <w:rsid w:val="00244129"/>
    <w:rsid w:val="0024418C"/>
    <w:rsid w:val="00246459"/>
    <w:rsid w:val="002464A0"/>
    <w:rsid w:val="00246B0C"/>
    <w:rsid w:val="00247445"/>
    <w:rsid w:val="002504C4"/>
    <w:rsid w:val="00250D5B"/>
    <w:rsid w:val="0025121A"/>
    <w:rsid w:val="00253474"/>
    <w:rsid w:val="002578B8"/>
    <w:rsid w:val="002614A9"/>
    <w:rsid w:val="002723DE"/>
    <w:rsid w:val="002736B2"/>
    <w:rsid w:val="00277344"/>
    <w:rsid w:val="00280159"/>
    <w:rsid w:val="0028030A"/>
    <w:rsid w:val="00280B0B"/>
    <w:rsid w:val="00282A0B"/>
    <w:rsid w:val="00282A16"/>
    <w:rsid w:val="00283726"/>
    <w:rsid w:val="00283981"/>
    <w:rsid w:val="00283B08"/>
    <w:rsid w:val="00287CD7"/>
    <w:rsid w:val="00290715"/>
    <w:rsid w:val="002917D9"/>
    <w:rsid w:val="00294434"/>
    <w:rsid w:val="00295649"/>
    <w:rsid w:val="00297189"/>
    <w:rsid w:val="00297E0B"/>
    <w:rsid w:val="002A0F8F"/>
    <w:rsid w:val="002A2A8A"/>
    <w:rsid w:val="002A2ACB"/>
    <w:rsid w:val="002A4142"/>
    <w:rsid w:val="002A4289"/>
    <w:rsid w:val="002A77D4"/>
    <w:rsid w:val="002A7950"/>
    <w:rsid w:val="002A7F79"/>
    <w:rsid w:val="002B1C06"/>
    <w:rsid w:val="002B2519"/>
    <w:rsid w:val="002B56BB"/>
    <w:rsid w:val="002B7382"/>
    <w:rsid w:val="002B74C8"/>
    <w:rsid w:val="002C1571"/>
    <w:rsid w:val="002C16A9"/>
    <w:rsid w:val="002C212D"/>
    <w:rsid w:val="002C58D4"/>
    <w:rsid w:val="002C7972"/>
    <w:rsid w:val="002D2BB7"/>
    <w:rsid w:val="002D3AFA"/>
    <w:rsid w:val="002D66AC"/>
    <w:rsid w:val="002D674D"/>
    <w:rsid w:val="002E0160"/>
    <w:rsid w:val="002E163F"/>
    <w:rsid w:val="002E1924"/>
    <w:rsid w:val="002E1BAC"/>
    <w:rsid w:val="002E30C8"/>
    <w:rsid w:val="002E5C2B"/>
    <w:rsid w:val="002F224E"/>
    <w:rsid w:val="002F32E3"/>
    <w:rsid w:val="002F39AC"/>
    <w:rsid w:val="002F419B"/>
    <w:rsid w:val="002F69D9"/>
    <w:rsid w:val="002F7D44"/>
    <w:rsid w:val="00301853"/>
    <w:rsid w:val="00301929"/>
    <w:rsid w:val="00303471"/>
    <w:rsid w:val="003064AF"/>
    <w:rsid w:val="003070EC"/>
    <w:rsid w:val="00307703"/>
    <w:rsid w:val="00307F1B"/>
    <w:rsid w:val="0031092E"/>
    <w:rsid w:val="00311ED4"/>
    <w:rsid w:val="00312FFA"/>
    <w:rsid w:val="00313C11"/>
    <w:rsid w:val="00322FBE"/>
    <w:rsid w:val="00323ADD"/>
    <w:rsid w:val="00323B96"/>
    <w:rsid w:val="00324032"/>
    <w:rsid w:val="0032415D"/>
    <w:rsid w:val="00326C1B"/>
    <w:rsid w:val="00326CA2"/>
    <w:rsid w:val="0033099F"/>
    <w:rsid w:val="00331E6F"/>
    <w:rsid w:val="00334E5B"/>
    <w:rsid w:val="00336FFE"/>
    <w:rsid w:val="003410BA"/>
    <w:rsid w:val="00341767"/>
    <w:rsid w:val="0034409D"/>
    <w:rsid w:val="0034498C"/>
    <w:rsid w:val="00346A23"/>
    <w:rsid w:val="00346AEF"/>
    <w:rsid w:val="00350E94"/>
    <w:rsid w:val="00351697"/>
    <w:rsid w:val="00352010"/>
    <w:rsid w:val="003536A7"/>
    <w:rsid w:val="0035430D"/>
    <w:rsid w:val="00354B3D"/>
    <w:rsid w:val="003553ED"/>
    <w:rsid w:val="00355661"/>
    <w:rsid w:val="00356FD7"/>
    <w:rsid w:val="00357E3C"/>
    <w:rsid w:val="00360E77"/>
    <w:rsid w:val="00361B95"/>
    <w:rsid w:val="00361BCE"/>
    <w:rsid w:val="00361C90"/>
    <w:rsid w:val="00362BF4"/>
    <w:rsid w:val="003643AF"/>
    <w:rsid w:val="00364496"/>
    <w:rsid w:val="00365509"/>
    <w:rsid w:val="003656DF"/>
    <w:rsid w:val="0036600B"/>
    <w:rsid w:val="00366221"/>
    <w:rsid w:val="00366BEF"/>
    <w:rsid w:val="00370D6D"/>
    <w:rsid w:val="00371DCC"/>
    <w:rsid w:val="003731F6"/>
    <w:rsid w:val="00373713"/>
    <w:rsid w:val="00374160"/>
    <w:rsid w:val="00381355"/>
    <w:rsid w:val="00381931"/>
    <w:rsid w:val="00381D69"/>
    <w:rsid w:val="00384160"/>
    <w:rsid w:val="0038445C"/>
    <w:rsid w:val="00385B12"/>
    <w:rsid w:val="00387048"/>
    <w:rsid w:val="003939AC"/>
    <w:rsid w:val="00393A0E"/>
    <w:rsid w:val="003A0990"/>
    <w:rsid w:val="003A3CEF"/>
    <w:rsid w:val="003A4449"/>
    <w:rsid w:val="003A4A32"/>
    <w:rsid w:val="003A5176"/>
    <w:rsid w:val="003A55E1"/>
    <w:rsid w:val="003A5656"/>
    <w:rsid w:val="003A6AB6"/>
    <w:rsid w:val="003B25A2"/>
    <w:rsid w:val="003B2A5B"/>
    <w:rsid w:val="003B4180"/>
    <w:rsid w:val="003B50D2"/>
    <w:rsid w:val="003B5560"/>
    <w:rsid w:val="003B77E3"/>
    <w:rsid w:val="003C065B"/>
    <w:rsid w:val="003C087E"/>
    <w:rsid w:val="003C29AF"/>
    <w:rsid w:val="003C388D"/>
    <w:rsid w:val="003C7590"/>
    <w:rsid w:val="003D0CF1"/>
    <w:rsid w:val="003D0FFF"/>
    <w:rsid w:val="003D1246"/>
    <w:rsid w:val="003D2DEA"/>
    <w:rsid w:val="003D565F"/>
    <w:rsid w:val="003D67DB"/>
    <w:rsid w:val="003D6CBA"/>
    <w:rsid w:val="003D7C71"/>
    <w:rsid w:val="003E0CE2"/>
    <w:rsid w:val="003E327E"/>
    <w:rsid w:val="003E3D18"/>
    <w:rsid w:val="003E59D4"/>
    <w:rsid w:val="003E71E9"/>
    <w:rsid w:val="003E7E3C"/>
    <w:rsid w:val="003F1008"/>
    <w:rsid w:val="003F2F89"/>
    <w:rsid w:val="003F4066"/>
    <w:rsid w:val="003F4AEE"/>
    <w:rsid w:val="003F4F89"/>
    <w:rsid w:val="003F5D3B"/>
    <w:rsid w:val="003F6E60"/>
    <w:rsid w:val="003F7254"/>
    <w:rsid w:val="00402E5D"/>
    <w:rsid w:val="00403A4D"/>
    <w:rsid w:val="004042AC"/>
    <w:rsid w:val="00404BA5"/>
    <w:rsid w:val="00404F41"/>
    <w:rsid w:val="00407918"/>
    <w:rsid w:val="0041069E"/>
    <w:rsid w:val="00410CA5"/>
    <w:rsid w:val="00411E74"/>
    <w:rsid w:val="0041209D"/>
    <w:rsid w:val="00412411"/>
    <w:rsid w:val="0041435A"/>
    <w:rsid w:val="00414BE8"/>
    <w:rsid w:val="00416543"/>
    <w:rsid w:val="0041671F"/>
    <w:rsid w:val="004204DE"/>
    <w:rsid w:val="00426D14"/>
    <w:rsid w:val="0043006A"/>
    <w:rsid w:val="00430166"/>
    <w:rsid w:val="00430CC5"/>
    <w:rsid w:val="004348AD"/>
    <w:rsid w:val="00434ED0"/>
    <w:rsid w:val="004351D8"/>
    <w:rsid w:val="004365FD"/>
    <w:rsid w:val="0044077F"/>
    <w:rsid w:val="004424AB"/>
    <w:rsid w:val="00442695"/>
    <w:rsid w:val="0044339C"/>
    <w:rsid w:val="00444DAE"/>
    <w:rsid w:val="004469DB"/>
    <w:rsid w:val="00447028"/>
    <w:rsid w:val="004474E4"/>
    <w:rsid w:val="0045040E"/>
    <w:rsid w:val="00450B2C"/>
    <w:rsid w:val="00451511"/>
    <w:rsid w:val="00452219"/>
    <w:rsid w:val="00453812"/>
    <w:rsid w:val="004554B5"/>
    <w:rsid w:val="0045584C"/>
    <w:rsid w:val="00456A02"/>
    <w:rsid w:val="00460F76"/>
    <w:rsid w:val="0046183F"/>
    <w:rsid w:val="00463649"/>
    <w:rsid w:val="00463EC4"/>
    <w:rsid w:val="00464478"/>
    <w:rsid w:val="004649ED"/>
    <w:rsid w:val="00466304"/>
    <w:rsid w:val="004674FD"/>
    <w:rsid w:val="0048170D"/>
    <w:rsid w:val="00481DF0"/>
    <w:rsid w:val="004824C8"/>
    <w:rsid w:val="0048412E"/>
    <w:rsid w:val="00485ED9"/>
    <w:rsid w:val="00487DEA"/>
    <w:rsid w:val="004915A1"/>
    <w:rsid w:val="004916A6"/>
    <w:rsid w:val="00495523"/>
    <w:rsid w:val="00497320"/>
    <w:rsid w:val="00497A5C"/>
    <w:rsid w:val="00497CA1"/>
    <w:rsid w:val="004A1833"/>
    <w:rsid w:val="004A3EE4"/>
    <w:rsid w:val="004A4A7A"/>
    <w:rsid w:val="004A786A"/>
    <w:rsid w:val="004B1020"/>
    <w:rsid w:val="004B169D"/>
    <w:rsid w:val="004B1D8C"/>
    <w:rsid w:val="004B63F7"/>
    <w:rsid w:val="004B6703"/>
    <w:rsid w:val="004C12C0"/>
    <w:rsid w:val="004C13C9"/>
    <w:rsid w:val="004C2208"/>
    <w:rsid w:val="004C2CD6"/>
    <w:rsid w:val="004C4270"/>
    <w:rsid w:val="004C6ABE"/>
    <w:rsid w:val="004D113D"/>
    <w:rsid w:val="004D3AC5"/>
    <w:rsid w:val="004D3BBC"/>
    <w:rsid w:val="004D7EB0"/>
    <w:rsid w:val="004E63A4"/>
    <w:rsid w:val="004E6571"/>
    <w:rsid w:val="004E7B2B"/>
    <w:rsid w:val="004F1CA8"/>
    <w:rsid w:val="004F2969"/>
    <w:rsid w:val="004F4B26"/>
    <w:rsid w:val="004F547D"/>
    <w:rsid w:val="004F5755"/>
    <w:rsid w:val="004F7AD3"/>
    <w:rsid w:val="005010B5"/>
    <w:rsid w:val="005015E0"/>
    <w:rsid w:val="005057F0"/>
    <w:rsid w:val="00505C78"/>
    <w:rsid w:val="00505D55"/>
    <w:rsid w:val="00505DD4"/>
    <w:rsid w:val="005062C7"/>
    <w:rsid w:val="0050649E"/>
    <w:rsid w:val="00510B56"/>
    <w:rsid w:val="00510EEA"/>
    <w:rsid w:val="00514BB0"/>
    <w:rsid w:val="0051501B"/>
    <w:rsid w:val="00521F30"/>
    <w:rsid w:val="0052231E"/>
    <w:rsid w:val="005253AD"/>
    <w:rsid w:val="00526501"/>
    <w:rsid w:val="00527A6B"/>
    <w:rsid w:val="00531CAD"/>
    <w:rsid w:val="00531D70"/>
    <w:rsid w:val="005333FA"/>
    <w:rsid w:val="00533F8A"/>
    <w:rsid w:val="00534012"/>
    <w:rsid w:val="00536584"/>
    <w:rsid w:val="005430E0"/>
    <w:rsid w:val="00545440"/>
    <w:rsid w:val="00550EB4"/>
    <w:rsid w:val="005527C0"/>
    <w:rsid w:val="00553A99"/>
    <w:rsid w:val="005548B9"/>
    <w:rsid w:val="005548BF"/>
    <w:rsid w:val="00554CB4"/>
    <w:rsid w:val="005560F7"/>
    <w:rsid w:val="00556367"/>
    <w:rsid w:val="00556A9B"/>
    <w:rsid w:val="00557D39"/>
    <w:rsid w:val="00560E45"/>
    <w:rsid w:val="00561B8C"/>
    <w:rsid w:val="00562AF9"/>
    <w:rsid w:val="0056302F"/>
    <w:rsid w:val="005632C9"/>
    <w:rsid w:val="00563F58"/>
    <w:rsid w:val="005656DF"/>
    <w:rsid w:val="005669C7"/>
    <w:rsid w:val="00567A3D"/>
    <w:rsid w:val="00570D03"/>
    <w:rsid w:val="00571072"/>
    <w:rsid w:val="0057140D"/>
    <w:rsid w:val="00573B7A"/>
    <w:rsid w:val="005751A1"/>
    <w:rsid w:val="005753B1"/>
    <w:rsid w:val="005762EB"/>
    <w:rsid w:val="00576A96"/>
    <w:rsid w:val="005777C2"/>
    <w:rsid w:val="00582555"/>
    <w:rsid w:val="00582DBE"/>
    <w:rsid w:val="00583117"/>
    <w:rsid w:val="005834D8"/>
    <w:rsid w:val="005844A7"/>
    <w:rsid w:val="00584E7D"/>
    <w:rsid w:val="005903E1"/>
    <w:rsid w:val="00593762"/>
    <w:rsid w:val="00594F24"/>
    <w:rsid w:val="005A0669"/>
    <w:rsid w:val="005A1DAC"/>
    <w:rsid w:val="005A1DEE"/>
    <w:rsid w:val="005A1E76"/>
    <w:rsid w:val="005A268C"/>
    <w:rsid w:val="005A2838"/>
    <w:rsid w:val="005A5259"/>
    <w:rsid w:val="005B03B3"/>
    <w:rsid w:val="005B091A"/>
    <w:rsid w:val="005B5B05"/>
    <w:rsid w:val="005B6AFB"/>
    <w:rsid w:val="005B72CE"/>
    <w:rsid w:val="005B7BA0"/>
    <w:rsid w:val="005B7C17"/>
    <w:rsid w:val="005B7D1B"/>
    <w:rsid w:val="005C14B9"/>
    <w:rsid w:val="005C1C21"/>
    <w:rsid w:val="005C31D4"/>
    <w:rsid w:val="005C41A7"/>
    <w:rsid w:val="005C47F4"/>
    <w:rsid w:val="005C5E8C"/>
    <w:rsid w:val="005C65FE"/>
    <w:rsid w:val="005C6FB3"/>
    <w:rsid w:val="005D17BB"/>
    <w:rsid w:val="005D25BD"/>
    <w:rsid w:val="005D2CEC"/>
    <w:rsid w:val="005D3D16"/>
    <w:rsid w:val="005D45B1"/>
    <w:rsid w:val="005D5518"/>
    <w:rsid w:val="005D72C2"/>
    <w:rsid w:val="005E3FE3"/>
    <w:rsid w:val="005E62EB"/>
    <w:rsid w:val="005E683C"/>
    <w:rsid w:val="005F4E41"/>
    <w:rsid w:val="005F67C5"/>
    <w:rsid w:val="00600958"/>
    <w:rsid w:val="00603EE2"/>
    <w:rsid w:val="00604163"/>
    <w:rsid w:val="00605D54"/>
    <w:rsid w:val="006062E8"/>
    <w:rsid w:val="00610F60"/>
    <w:rsid w:val="006116D1"/>
    <w:rsid w:val="00612406"/>
    <w:rsid w:val="00613435"/>
    <w:rsid w:val="0061512E"/>
    <w:rsid w:val="00615461"/>
    <w:rsid w:val="00621754"/>
    <w:rsid w:val="0062198B"/>
    <w:rsid w:val="0062293E"/>
    <w:rsid w:val="00623E03"/>
    <w:rsid w:val="00624990"/>
    <w:rsid w:val="00625232"/>
    <w:rsid w:val="00625DA7"/>
    <w:rsid w:val="00625EF6"/>
    <w:rsid w:val="00626391"/>
    <w:rsid w:val="00626895"/>
    <w:rsid w:val="006329D4"/>
    <w:rsid w:val="00634737"/>
    <w:rsid w:val="00640803"/>
    <w:rsid w:val="00645008"/>
    <w:rsid w:val="0064506D"/>
    <w:rsid w:val="00647657"/>
    <w:rsid w:val="00647C46"/>
    <w:rsid w:val="00650E6E"/>
    <w:rsid w:val="00654532"/>
    <w:rsid w:val="00657A7D"/>
    <w:rsid w:val="0066073C"/>
    <w:rsid w:val="006607B9"/>
    <w:rsid w:val="00660C7A"/>
    <w:rsid w:val="00663630"/>
    <w:rsid w:val="006639F7"/>
    <w:rsid w:val="00664A5A"/>
    <w:rsid w:val="00666528"/>
    <w:rsid w:val="0066698F"/>
    <w:rsid w:val="006673DC"/>
    <w:rsid w:val="00671309"/>
    <w:rsid w:val="00671FC0"/>
    <w:rsid w:val="0067218C"/>
    <w:rsid w:val="00672836"/>
    <w:rsid w:val="006732A8"/>
    <w:rsid w:val="00673A69"/>
    <w:rsid w:val="00673EF3"/>
    <w:rsid w:val="00674A0C"/>
    <w:rsid w:val="00676354"/>
    <w:rsid w:val="006800F0"/>
    <w:rsid w:val="00680E96"/>
    <w:rsid w:val="00681AE5"/>
    <w:rsid w:val="00681CF4"/>
    <w:rsid w:val="00682221"/>
    <w:rsid w:val="0068586D"/>
    <w:rsid w:val="00686341"/>
    <w:rsid w:val="00686E7D"/>
    <w:rsid w:val="0068786A"/>
    <w:rsid w:val="00690FF4"/>
    <w:rsid w:val="00691903"/>
    <w:rsid w:val="00694650"/>
    <w:rsid w:val="00695A91"/>
    <w:rsid w:val="006A1366"/>
    <w:rsid w:val="006A1455"/>
    <w:rsid w:val="006A364F"/>
    <w:rsid w:val="006A5F3D"/>
    <w:rsid w:val="006B026A"/>
    <w:rsid w:val="006B09C2"/>
    <w:rsid w:val="006B1F9E"/>
    <w:rsid w:val="006B60EF"/>
    <w:rsid w:val="006B62EB"/>
    <w:rsid w:val="006B6EBF"/>
    <w:rsid w:val="006B6EEF"/>
    <w:rsid w:val="006B7076"/>
    <w:rsid w:val="006B70F4"/>
    <w:rsid w:val="006C4F76"/>
    <w:rsid w:val="006C78F0"/>
    <w:rsid w:val="006D10F0"/>
    <w:rsid w:val="006D19AF"/>
    <w:rsid w:val="006D1B06"/>
    <w:rsid w:val="006D27FA"/>
    <w:rsid w:val="006D3E9F"/>
    <w:rsid w:val="006D5B91"/>
    <w:rsid w:val="006D5F41"/>
    <w:rsid w:val="006D7312"/>
    <w:rsid w:val="006D742B"/>
    <w:rsid w:val="006D7E65"/>
    <w:rsid w:val="006E0984"/>
    <w:rsid w:val="006E5AC7"/>
    <w:rsid w:val="006E627E"/>
    <w:rsid w:val="006F03B5"/>
    <w:rsid w:val="006F1B73"/>
    <w:rsid w:val="006F2703"/>
    <w:rsid w:val="006F2D86"/>
    <w:rsid w:val="006F2DA8"/>
    <w:rsid w:val="006F3947"/>
    <w:rsid w:val="006F7060"/>
    <w:rsid w:val="00701149"/>
    <w:rsid w:val="007019F4"/>
    <w:rsid w:val="00704921"/>
    <w:rsid w:val="00705D65"/>
    <w:rsid w:val="00710B35"/>
    <w:rsid w:val="0071294A"/>
    <w:rsid w:val="00712A16"/>
    <w:rsid w:val="007157A0"/>
    <w:rsid w:val="00721F56"/>
    <w:rsid w:val="0072245C"/>
    <w:rsid w:val="0072246A"/>
    <w:rsid w:val="00723850"/>
    <w:rsid w:val="00725639"/>
    <w:rsid w:val="007261F6"/>
    <w:rsid w:val="007262FD"/>
    <w:rsid w:val="00726B36"/>
    <w:rsid w:val="00727D26"/>
    <w:rsid w:val="00727D9A"/>
    <w:rsid w:val="00732155"/>
    <w:rsid w:val="0073249F"/>
    <w:rsid w:val="00732D68"/>
    <w:rsid w:val="007341B8"/>
    <w:rsid w:val="00743647"/>
    <w:rsid w:val="00743E52"/>
    <w:rsid w:val="00750C21"/>
    <w:rsid w:val="0075152A"/>
    <w:rsid w:val="00751990"/>
    <w:rsid w:val="00753975"/>
    <w:rsid w:val="00753C5F"/>
    <w:rsid w:val="00755DA8"/>
    <w:rsid w:val="00756043"/>
    <w:rsid w:val="00756939"/>
    <w:rsid w:val="00760214"/>
    <w:rsid w:val="00770488"/>
    <w:rsid w:val="007709C6"/>
    <w:rsid w:val="00770E82"/>
    <w:rsid w:val="00771B50"/>
    <w:rsid w:val="00771F2A"/>
    <w:rsid w:val="00771F33"/>
    <w:rsid w:val="0077386A"/>
    <w:rsid w:val="00775B0C"/>
    <w:rsid w:val="00783BA1"/>
    <w:rsid w:val="007841B5"/>
    <w:rsid w:val="00785CE6"/>
    <w:rsid w:val="0078699A"/>
    <w:rsid w:val="00787C6F"/>
    <w:rsid w:val="00791137"/>
    <w:rsid w:val="00793FDE"/>
    <w:rsid w:val="00794F4B"/>
    <w:rsid w:val="00795412"/>
    <w:rsid w:val="007978ED"/>
    <w:rsid w:val="007A2829"/>
    <w:rsid w:val="007A2B0C"/>
    <w:rsid w:val="007A5222"/>
    <w:rsid w:val="007A5833"/>
    <w:rsid w:val="007A5B79"/>
    <w:rsid w:val="007A72DC"/>
    <w:rsid w:val="007A76DF"/>
    <w:rsid w:val="007A79BC"/>
    <w:rsid w:val="007A7DF4"/>
    <w:rsid w:val="007B2FB2"/>
    <w:rsid w:val="007B388F"/>
    <w:rsid w:val="007B438F"/>
    <w:rsid w:val="007B5555"/>
    <w:rsid w:val="007B5EA7"/>
    <w:rsid w:val="007B7588"/>
    <w:rsid w:val="007B7D43"/>
    <w:rsid w:val="007C1F56"/>
    <w:rsid w:val="007C4DDB"/>
    <w:rsid w:val="007C5D7F"/>
    <w:rsid w:val="007C782C"/>
    <w:rsid w:val="007C7E87"/>
    <w:rsid w:val="007D0061"/>
    <w:rsid w:val="007D04E5"/>
    <w:rsid w:val="007D090F"/>
    <w:rsid w:val="007D1A65"/>
    <w:rsid w:val="007D262F"/>
    <w:rsid w:val="007D290A"/>
    <w:rsid w:val="007D29D0"/>
    <w:rsid w:val="007D396F"/>
    <w:rsid w:val="007D3C42"/>
    <w:rsid w:val="007D57D2"/>
    <w:rsid w:val="007D6E99"/>
    <w:rsid w:val="007E0228"/>
    <w:rsid w:val="007E0517"/>
    <w:rsid w:val="007E07BA"/>
    <w:rsid w:val="007E113A"/>
    <w:rsid w:val="007E23AC"/>
    <w:rsid w:val="007E3267"/>
    <w:rsid w:val="007F229D"/>
    <w:rsid w:val="007F4F0F"/>
    <w:rsid w:val="007F67EE"/>
    <w:rsid w:val="00800177"/>
    <w:rsid w:val="0080188D"/>
    <w:rsid w:val="008042F1"/>
    <w:rsid w:val="008049FC"/>
    <w:rsid w:val="00804D4E"/>
    <w:rsid w:val="0080683C"/>
    <w:rsid w:val="00807685"/>
    <w:rsid w:val="00807F10"/>
    <w:rsid w:val="00811384"/>
    <w:rsid w:val="0081160E"/>
    <w:rsid w:val="00812006"/>
    <w:rsid w:val="00814947"/>
    <w:rsid w:val="008160A3"/>
    <w:rsid w:val="0082031E"/>
    <w:rsid w:val="00821304"/>
    <w:rsid w:val="00821554"/>
    <w:rsid w:val="008218EC"/>
    <w:rsid w:val="00822224"/>
    <w:rsid w:val="00824254"/>
    <w:rsid w:val="00827B10"/>
    <w:rsid w:val="00827EBC"/>
    <w:rsid w:val="00833890"/>
    <w:rsid w:val="00833AD9"/>
    <w:rsid w:val="008364A2"/>
    <w:rsid w:val="0083671E"/>
    <w:rsid w:val="00836993"/>
    <w:rsid w:val="00837566"/>
    <w:rsid w:val="00837D97"/>
    <w:rsid w:val="0084027C"/>
    <w:rsid w:val="00841855"/>
    <w:rsid w:val="008425EF"/>
    <w:rsid w:val="00845173"/>
    <w:rsid w:val="008506A2"/>
    <w:rsid w:val="00850AC6"/>
    <w:rsid w:val="00850FF0"/>
    <w:rsid w:val="00851D3E"/>
    <w:rsid w:val="0085389D"/>
    <w:rsid w:val="008546D8"/>
    <w:rsid w:val="008563D4"/>
    <w:rsid w:val="008565AD"/>
    <w:rsid w:val="00856745"/>
    <w:rsid w:val="008605BE"/>
    <w:rsid w:val="008638B7"/>
    <w:rsid w:val="008644E6"/>
    <w:rsid w:val="00865BFA"/>
    <w:rsid w:val="008672F8"/>
    <w:rsid w:val="008712A2"/>
    <w:rsid w:val="008742B8"/>
    <w:rsid w:val="00875AB4"/>
    <w:rsid w:val="0087669A"/>
    <w:rsid w:val="00876754"/>
    <w:rsid w:val="008811B1"/>
    <w:rsid w:val="00882F8D"/>
    <w:rsid w:val="00883EE1"/>
    <w:rsid w:val="008842D9"/>
    <w:rsid w:val="00885AD8"/>
    <w:rsid w:val="00885CD1"/>
    <w:rsid w:val="00887041"/>
    <w:rsid w:val="00890C4F"/>
    <w:rsid w:val="00892AAE"/>
    <w:rsid w:val="00892D8A"/>
    <w:rsid w:val="008A2611"/>
    <w:rsid w:val="008A2F88"/>
    <w:rsid w:val="008A5CAF"/>
    <w:rsid w:val="008A6EAE"/>
    <w:rsid w:val="008A7758"/>
    <w:rsid w:val="008A78DF"/>
    <w:rsid w:val="008A7A22"/>
    <w:rsid w:val="008B056C"/>
    <w:rsid w:val="008B3EA9"/>
    <w:rsid w:val="008B4AA6"/>
    <w:rsid w:val="008B6575"/>
    <w:rsid w:val="008C0F99"/>
    <w:rsid w:val="008C10F4"/>
    <w:rsid w:val="008C1F29"/>
    <w:rsid w:val="008C2C08"/>
    <w:rsid w:val="008C31EC"/>
    <w:rsid w:val="008C3303"/>
    <w:rsid w:val="008C3519"/>
    <w:rsid w:val="008D066A"/>
    <w:rsid w:val="008D0B79"/>
    <w:rsid w:val="008D63B8"/>
    <w:rsid w:val="008D6F02"/>
    <w:rsid w:val="008E265A"/>
    <w:rsid w:val="008E2D04"/>
    <w:rsid w:val="008E3E87"/>
    <w:rsid w:val="008E419E"/>
    <w:rsid w:val="008E41ED"/>
    <w:rsid w:val="008E5051"/>
    <w:rsid w:val="008E7735"/>
    <w:rsid w:val="008F052B"/>
    <w:rsid w:val="008F1449"/>
    <w:rsid w:val="008F38AC"/>
    <w:rsid w:val="008F4C09"/>
    <w:rsid w:val="008F4FF9"/>
    <w:rsid w:val="008F6AAE"/>
    <w:rsid w:val="008F72EA"/>
    <w:rsid w:val="008F7C26"/>
    <w:rsid w:val="009003AD"/>
    <w:rsid w:val="00901F69"/>
    <w:rsid w:val="009040D2"/>
    <w:rsid w:val="00904BB7"/>
    <w:rsid w:val="00905EF2"/>
    <w:rsid w:val="0090618E"/>
    <w:rsid w:val="00906FFB"/>
    <w:rsid w:val="00911319"/>
    <w:rsid w:val="0091556C"/>
    <w:rsid w:val="0092519A"/>
    <w:rsid w:val="009268A6"/>
    <w:rsid w:val="00926F01"/>
    <w:rsid w:val="0093677F"/>
    <w:rsid w:val="00943241"/>
    <w:rsid w:val="00944DCE"/>
    <w:rsid w:val="00945D3A"/>
    <w:rsid w:val="0094767D"/>
    <w:rsid w:val="009548B9"/>
    <w:rsid w:val="00954F99"/>
    <w:rsid w:val="009603D4"/>
    <w:rsid w:val="0096195E"/>
    <w:rsid w:val="009633EB"/>
    <w:rsid w:val="00972448"/>
    <w:rsid w:val="00975657"/>
    <w:rsid w:val="00976CE7"/>
    <w:rsid w:val="0097754F"/>
    <w:rsid w:val="00977C3E"/>
    <w:rsid w:val="009812EC"/>
    <w:rsid w:val="009820CA"/>
    <w:rsid w:val="00982DF1"/>
    <w:rsid w:val="0098442D"/>
    <w:rsid w:val="00985201"/>
    <w:rsid w:val="00985788"/>
    <w:rsid w:val="009876EC"/>
    <w:rsid w:val="00990113"/>
    <w:rsid w:val="00994B4B"/>
    <w:rsid w:val="00995C6E"/>
    <w:rsid w:val="00996579"/>
    <w:rsid w:val="00997163"/>
    <w:rsid w:val="00997B5F"/>
    <w:rsid w:val="009A0D5B"/>
    <w:rsid w:val="009A19CC"/>
    <w:rsid w:val="009A2AD6"/>
    <w:rsid w:val="009A3229"/>
    <w:rsid w:val="009A37AC"/>
    <w:rsid w:val="009A4079"/>
    <w:rsid w:val="009B18D6"/>
    <w:rsid w:val="009B5F3B"/>
    <w:rsid w:val="009B6249"/>
    <w:rsid w:val="009C59FA"/>
    <w:rsid w:val="009C6B64"/>
    <w:rsid w:val="009C75C4"/>
    <w:rsid w:val="009C7D91"/>
    <w:rsid w:val="009D05FC"/>
    <w:rsid w:val="009D1962"/>
    <w:rsid w:val="009D4000"/>
    <w:rsid w:val="009D4420"/>
    <w:rsid w:val="009D7043"/>
    <w:rsid w:val="009D7525"/>
    <w:rsid w:val="009E009E"/>
    <w:rsid w:val="009E1A9E"/>
    <w:rsid w:val="009E2D96"/>
    <w:rsid w:val="009E51FF"/>
    <w:rsid w:val="009E5AE8"/>
    <w:rsid w:val="009E5BFC"/>
    <w:rsid w:val="009E6936"/>
    <w:rsid w:val="009E7814"/>
    <w:rsid w:val="009E78DF"/>
    <w:rsid w:val="009F02B1"/>
    <w:rsid w:val="009F2036"/>
    <w:rsid w:val="009F3553"/>
    <w:rsid w:val="009F40FE"/>
    <w:rsid w:val="009F6811"/>
    <w:rsid w:val="00A01586"/>
    <w:rsid w:val="00A0258D"/>
    <w:rsid w:val="00A03626"/>
    <w:rsid w:val="00A041EC"/>
    <w:rsid w:val="00A04730"/>
    <w:rsid w:val="00A06952"/>
    <w:rsid w:val="00A1260E"/>
    <w:rsid w:val="00A1282B"/>
    <w:rsid w:val="00A1397B"/>
    <w:rsid w:val="00A13BD9"/>
    <w:rsid w:val="00A161F0"/>
    <w:rsid w:val="00A1648C"/>
    <w:rsid w:val="00A17184"/>
    <w:rsid w:val="00A17FF5"/>
    <w:rsid w:val="00A22FA7"/>
    <w:rsid w:val="00A23EB4"/>
    <w:rsid w:val="00A24CF5"/>
    <w:rsid w:val="00A2539E"/>
    <w:rsid w:val="00A26022"/>
    <w:rsid w:val="00A27865"/>
    <w:rsid w:val="00A3097F"/>
    <w:rsid w:val="00A310F3"/>
    <w:rsid w:val="00A33220"/>
    <w:rsid w:val="00A34034"/>
    <w:rsid w:val="00A35059"/>
    <w:rsid w:val="00A35D50"/>
    <w:rsid w:val="00A35F9E"/>
    <w:rsid w:val="00A363FF"/>
    <w:rsid w:val="00A37482"/>
    <w:rsid w:val="00A37A62"/>
    <w:rsid w:val="00A40786"/>
    <w:rsid w:val="00A42118"/>
    <w:rsid w:val="00A43FEC"/>
    <w:rsid w:val="00A46825"/>
    <w:rsid w:val="00A5042C"/>
    <w:rsid w:val="00A51099"/>
    <w:rsid w:val="00A51A71"/>
    <w:rsid w:val="00A5229C"/>
    <w:rsid w:val="00A52AD7"/>
    <w:rsid w:val="00A52D6E"/>
    <w:rsid w:val="00A55BAC"/>
    <w:rsid w:val="00A55EE0"/>
    <w:rsid w:val="00A57271"/>
    <w:rsid w:val="00A57583"/>
    <w:rsid w:val="00A60958"/>
    <w:rsid w:val="00A628B5"/>
    <w:rsid w:val="00A62EBB"/>
    <w:rsid w:val="00A63B8A"/>
    <w:rsid w:val="00A64047"/>
    <w:rsid w:val="00A65B7F"/>
    <w:rsid w:val="00A663B1"/>
    <w:rsid w:val="00A70BF9"/>
    <w:rsid w:val="00A7288D"/>
    <w:rsid w:val="00A72BD0"/>
    <w:rsid w:val="00A74116"/>
    <w:rsid w:val="00A76D8E"/>
    <w:rsid w:val="00A77EC3"/>
    <w:rsid w:val="00A81C79"/>
    <w:rsid w:val="00A823BF"/>
    <w:rsid w:val="00A82F86"/>
    <w:rsid w:val="00A83B88"/>
    <w:rsid w:val="00A900A5"/>
    <w:rsid w:val="00A908B1"/>
    <w:rsid w:val="00A909FF"/>
    <w:rsid w:val="00A919D3"/>
    <w:rsid w:val="00A95AE9"/>
    <w:rsid w:val="00A95E18"/>
    <w:rsid w:val="00A97417"/>
    <w:rsid w:val="00AA247F"/>
    <w:rsid w:val="00AA624C"/>
    <w:rsid w:val="00AA6F41"/>
    <w:rsid w:val="00AB1E49"/>
    <w:rsid w:val="00AB2174"/>
    <w:rsid w:val="00AB5D9C"/>
    <w:rsid w:val="00AB79CF"/>
    <w:rsid w:val="00AC0521"/>
    <w:rsid w:val="00AC220D"/>
    <w:rsid w:val="00AC3B6A"/>
    <w:rsid w:val="00AC561B"/>
    <w:rsid w:val="00AC6FE7"/>
    <w:rsid w:val="00AC7160"/>
    <w:rsid w:val="00AC725E"/>
    <w:rsid w:val="00AD07AC"/>
    <w:rsid w:val="00AD102E"/>
    <w:rsid w:val="00AD2CD0"/>
    <w:rsid w:val="00AD3800"/>
    <w:rsid w:val="00AD3883"/>
    <w:rsid w:val="00AE1C1E"/>
    <w:rsid w:val="00AE1D8F"/>
    <w:rsid w:val="00AE20C0"/>
    <w:rsid w:val="00AE24A9"/>
    <w:rsid w:val="00AF01EB"/>
    <w:rsid w:val="00AF115D"/>
    <w:rsid w:val="00AF1FAA"/>
    <w:rsid w:val="00AF2D1E"/>
    <w:rsid w:val="00AF3143"/>
    <w:rsid w:val="00AF595B"/>
    <w:rsid w:val="00B0013F"/>
    <w:rsid w:val="00B00EC9"/>
    <w:rsid w:val="00B06C12"/>
    <w:rsid w:val="00B1050D"/>
    <w:rsid w:val="00B11B81"/>
    <w:rsid w:val="00B13B0C"/>
    <w:rsid w:val="00B13E5B"/>
    <w:rsid w:val="00B13EDE"/>
    <w:rsid w:val="00B149D3"/>
    <w:rsid w:val="00B14B2E"/>
    <w:rsid w:val="00B1538F"/>
    <w:rsid w:val="00B155EF"/>
    <w:rsid w:val="00B2013E"/>
    <w:rsid w:val="00B20E50"/>
    <w:rsid w:val="00B232E8"/>
    <w:rsid w:val="00B25172"/>
    <w:rsid w:val="00B269E3"/>
    <w:rsid w:val="00B31FBD"/>
    <w:rsid w:val="00B329E8"/>
    <w:rsid w:val="00B33740"/>
    <w:rsid w:val="00B354EC"/>
    <w:rsid w:val="00B35CF1"/>
    <w:rsid w:val="00B417D8"/>
    <w:rsid w:val="00B42409"/>
    <w:rsid w:val="00B45F58"/>
    <w:rsid w:val="00B52F64"/>
    <w:rsid w:val="00B54E15"/>
    <w:rsid w:val="00B5674E"/>
    <w:rsid w:val="00B606D5"/>
    <w:rsid w:val="00B60754"/>
    <w:rsid w:val="00B64425"/>
    <w:rsid w:val="00B70B35"/>
    <w:rsid w:val="00B7104E"/>
    <w:rsid w:val="00B712E4"/>
    <w:rsid w:val="00B728F7"/>
    <w:rsid w:val="00B75A87"/>
    <w:rsid w:val="00B762B3"/>
    <w:rsid w:val="00B77142"/>
    <w:rsid w:val="00B77F23"/>
    <w:rsid w:val="00B80597"/>
    <w:rsid w:val="00B81F21"/>
    <w:rsid w:val="00B82120"/>
    <w:rsid w:val="00B8252F"/>
    <w:rsid w:val="00B83BB0"/>
    <w:rsid w:val="00B841A4"/>
    <w:rsid w:val="00B848F2"/>
    <w:rsid w:val="00B8789F"/>
    <w:rsid w:val="00B9062F"/>
    <w:rsid w:val="00B9136C"/>
    <w:rsid w:val="00B93102"/>
    <w:rsid w:val="00BA0C10"/>
    <w:rsid w:val="00BA2E0F"/>
    <w:rsid w:val="00BA31A4"/>
    <w:rsid w:val="00BA3C2D"/>
    <w:rsid w:val="00BA43A9"/>
    <w:rsid w:val="00BA4B04"/>
    <w:rsid w:val="00BA7B46"/>
    <w:rsid w:val="00BB061D"/>
    <w:rsid w:val="00BB30C2"/>
    <w:rsid w:val="00BB5817"/>
    <w:rsid w:val="00BB605C"/>
    <w:rsid w:val="00BB7071"/>
    <w:rsid w:val="00BC049F"/>
    <w:rsid w:val="00BC0927"/>
    <w:rsid w:val="00BC16AB"/>
    <w:rsid w:val="00BC2652"/>
    <w:rsid w:val="00BC47A1"/>
    <w:rsid w:val="00BC4CB6"/>
    <w:rsid w:val="00BC5FE8"/>
    <w:rsid w:val="00BC686A"/>
    <w:rsid w:val="00BD1BC0"/>
    <w:rsid w:val="00BD22DC"/>
    <w:rsid w:val="00BD3330"/>
    <w:rsid w:val="00BD37D0"/>
    <w:rsid w:val="00BD4798"/>
    <w:rsid w:val="00BD524B"/>
    <w:rsid w:val="00BD53B2"/>
    <w:rsid w:val="00BE0213"/>
    <w:rsid w:val="00BE1854"/>
    <w:rsid w:val="00BE1CE0"/>
    <w:rsid w:val="00BE1EC1"/>
    <w:rsid w:val="00BE2488"/>
    <w:rsid w:val="00BE2DD4"/>
    <w:rsid w:val="00BE4001"/>
    <w:rsid w:val="00BE552D"/>
    <w:rsid w:val="00BE624C"/>
    <w:rsid w:val="00BE625A"/>
    <w:rsid w:val="00BF1EB8"/>
    <w:rsid w:val="00BF2BF1"/>
    <w:rsid w:val="00BF3A74"/>
    <w:rsid w:val="00BF66FE"/>
    <w:rsid w:val="00BF6CAF"/>
    <w:rsid w:val="00BF7078"/>
    <w:rsid w:val="00C02E74"/>
    <w:rsid w:val="00C02EDE"/>
    <w:rsid w:val="00C02F20"/>
    <w:rsid w:val="00C04A3B"/>
    <w:rsid w:val="00C078BA"/>
    <w:rsid w:val="00C10AA2"/>
    <w:rsid w:val="00C1320F"/>
    <w:rsid w:val="00C14525"/>
    <w:rsid w:val="00C157E6"/>
    <w:rsid w:val="00C15810"/>
    <w:rsid w:val="00C1655C"/>
    <w:rsid w:val="00C211B8"/>
    <w:rsid w:val="00C21501"/>
    <w:rsid w:val="00C21AEB"/>
    <w:rsid w:val="00C25349"/>
    <w:rsid w:val="00C262C5"/>
    <w:rsid w:val="00C2646B"/>
    <w:rsid w:val="00C26B80"/>
    <w:rsid w:val="00C27D96"/>
    <w:rsid w:val="00C335A0"/>
    <w:rsid w:val="00C33FE8"/>
    <w:rsid w:val="00C34CDE"/>
    <w:rsid w:val="00C35F53"/>
    <w:rsid w:val="00C41B31"/>
    <w:rsid w:val="00C41C53"/>
    <w:rsid w:val="00C41D99"/>
    <w:rsid w:val="00C42598"/>
    <w:rsid w:val="00C4345D"/>
    <w:rsid w:val="00C43FA6"/>
    <w:rsid w:val="00C44AB8"/>
    <w:rsid w:val="00C4688A"/>
    <w:rsid w:val="00C51053"/>
    <w:rsid w:val="00C51E2F"/>
    <w:rsid w:val="00C55CB0"/>
    <w:rsid w:val="00C61900"/>
    <w:rsid w:val="00C61B73"/>
    <w:rsid w:val="00C6247A"/>
    <w:rsid w:val="00C635F6"/>
    <w:rsid w:val="00C64990"/>
    <w:rsid w:val="00C7498E"/>
    <w:rsid w:val="00C7528E"/>
    <w:rsid w:val="00C754E0"/>
    <w:rsid w:val="00C755E4"/>
    <w:rsid w:val="00C77FBD"/>
    <w:rsid w:val="00C83B63"/>
    <w:rsid w:val="00C84ABF"/>
    <w:rsid w:val="00C875FF"/>
    <w:rsid w:val="00C87FD7"/>
    <w:rsid w:val="00C9081F"/>
    <w:rsid w:val="00C933CB"/>
    <w:rsid w:val="00C93A00"/>
    <w:rsid w:val="00C94F47"/>
    <w:rsid w:val="00C97A60"/>
    <w:rsid w:val="00CA03E2"/>
    <w:rsid w:val="00CA0AE3"/>
    <w:rsid w:val="00CA1324"/>
    <w:rsid w:val="00CA1DAF"/>
    <w:rsid w:val="00CA2E52"/>
    <w:rsid w:val="00CA3D64"/>
    <w:rsid w:val="00CA47FB"/>
    <w:rsid w:val="00CA5587"/>
    <w:rsid w:val="00CA6377"/>
    <w:rsid w:val="00CB1D38"/>
    <w:rsid w:val="00CB2A5F"/>
    <w:rsid w:val="00CB4454"/>
    <w:rsid w:val="00CB537A"/>
    <w:rsid w:val="00CC3D43"/>
    <w:rsid w:val="00CC5579"/>
    <w:rsid w:val="00CC55D4"/>
    <w:rsid w:val="00CC5679"/>
    <w:rsid w:val="00CC6310"/>
    <w:rsid w:val="00CD00C9"/>
    <w:rsid w:val="00CD0439"/>
    <w:rsid w:val="00CD06DF"/>
    <w:rsid w:val="00CD3E78"/>
    <w:rsid w:val="00CD6F17"/>
    <w:rsid w:val="00CD7600"/>
    <w:rsid w:val="00CE0A07"/>
    <w:rsid w:val="00CE0FF0"/>
    <w:rsid w:val="00CE10B5"/>
    <w:rsid w:val="00CE24B1"/>
    <w:rsid w:val="00CE2597"/>
    <w:rsid w:val="00CE3F50"/>
    <w:rsid w:val="00CE3FC0"/>
    <w:rsid w:val="00CE5AD9"/>
    <w:rsid w:val="00CE69B7"/>
    <w:rsid w:val="00CF10AB"/>
    <w:rsid w:val="00CF57F5"/>
    <w:rsid w:val="00CF63FF"/>
    <w:rsid w:val="00D00347"/>
    <w:rsid w:val="00D00975"/>
    <w:rsid w:val="00D01516"/>
    <w:rsid w:val="00D0153E"/>
    <w:rsid w:val="00D02EA5"/>
    <w:rsid w:val="00D05827"/>
    <w:rsid w:val="00D05E5C"/>
    <w:rsid w:val="00D07682"/>
    <w:rsid w:val="00D22974"/>
    <w:rsid w:val="00D23453"/>
    <w:rsid w:val="00D27761"/>
    <w:rsid w:val="00D31EBF"/>
    <w:rsid w:val="00D338AF"/>
    <w:rsid w:val="00D33EA2"/>
    <w:rsid w:val="00D34899"/>
    <w:rsid w:val="00D348BB"/>
    <w:rsid w:val="00D34992"/>
    <w:rsid w:val="00D34FD2"/>
    <w:rsid w:val="00D35878"/>
    <w:rsid w:val="00D37340"/>
    <w:rsid w:val="00D37368"/>
    <w:rsid w:val="00D37D07"/>
    <w:rsid w:val="00D40201"/>
    <w:rsid w:val="00D4255D"/>
    <w:rsid w:val="00D441C5"/>
    <w:rsid w:val="00D45ABD"/>
    <w:rsid w:val="00D46787"/>
    <w:rsid w:val="00D50E25"/>
    <w:rsid w:val="00D50EB9"/>
    <w:rsid w:val="00D5294F"/>
    <w:rsid w:val="00D53D98"/>
    <w:rsid w:val="00D5416B"/>
    <w:rsid w:val="00D54843"/>
    <w:rsid w:val="00D55740"/>
    <w:rsid w:val="00D55959"/>
    <w:rsid w:val="00D5622B"/>
    <w:rsid w:val="00D57377"/>
    <w:rsid w:val="00D60993"/>
    <w:rsid w:val="00D6205C"/>
    <w:rsid w:val="00D63400"/>
    <w:rsid w:val="00D63B61"/>
    <w:rsid w:val="00D66F5A"/>
    <w:rsid w:val="00D6778B"/>
    <w:rsid w:val="00D67CEA"/>
    <w:rsid w:val="00D71D0E"/>
    <w:rsid w:val="00D724BB"/>
    <w:rsid w:val="00D72BD1"/>
    <w:rsid w:val="00D75000"/>
    <w:rsid w:val="00D758C8"/>
    <w:rsid w:val="00D77D5C"/>
    <w:rsid w:val="00D80110"/>
    <w:rsid w:val="00D80538"/>
    <w:rsid w:val="00D81AA3"/>
    <w:rsid w:val="00D81BD5"/>
    <w:rsid w:val="00D832BD"/>
    <w:rsid w:val="00D83C29"/>
    <w:rsid w:val="00D84D86"/>
    <w:rsid w:val="00D85953"/>
    <w:rsid w:val="00D87A19"/>
    <w:rsid w:val="00D90E96"/>
    <w:rsid w:val="00D91CEB"/>
    <w:rsid w:val="00D9245F"/>
    <w:rsid w:val="00D9336F"/>
    <w:rsid w:val="00D93643"/>
    <w:rsid w:val="00D94F0E"/>
    <w:rsid w:val="00D9714A"/>
    <w:rsid w:val="00D97AF2"/>
    <w:rsid w:val="00DA0BBC"/>
    <w:rsid w:val="00DA1CE1"/>
    <w:rsid w:val="00DA46AB"/>
    <w:rsid w:val="00DB1CE7"/>
    <w:rsid w:val="00DB25FE"/>
    <w:rsid w:val="00DB3169"/>
    <w:rsid w:val="00DB4EF4"/>
    <w:rsid w:val="00DB53D9"/>
    <w:rsid w:val="00DB53E1"/>
    <w:rsid w:val="00DB71C7"/>
    <w:rsid w:val="00DB7500"/>
    <w:rsid w:val="00DB7612"/>
    <w:rsid w:val="00DC19B2"/>
    <w:rsid w:val="00DC4F6F"/>
    <w:rsid w:val="00DC6AD5"/>
    <w:rsid w:val="00DC6CCC"/>
    <w:rsid w:val="00DC78A1"/>
    <w:rsid w:val="00DD5A8C"/>
    <w:rsid w:val="00DE079D"/>
    <w:rsid w:val="00DE518B"/>
    <w:rsid w:val="00DE602D"/>
    <w:rsid w:val="00DF0D51"/>
    <w:rsid w:val="00DF0D9B"/>
    <w:rsid w:val="00DF6E6B"/>
    <w:rsid w:val="00DF7BE0"/>
    <w:rsid w:val="00E0141F"/>
    <w:rsid w:val="00E01F9E"/>
    <w:rsid w:val="00E0659C"/>
    <w:rsid w:val="00E06D09"/>
    <w:rsid w:val="00E10444"/>
    <w:rsid w:val="00E10A32"/>
    <w:rsid w:val="00E127F5"/>
    <w:rsid w:val="00E2093A"/>
    <w:rsid w:val="00E22064"/>
    <w:rsid w:val="00E2482E"/>
    <w:rsid w:val="00E332A6"/>
    <w:rsid w:val="00E3373C"/>
    <w:rsid w:val="00E341A2"/>
    <w:rsid w:val="00E3434D"/>
    <w:rsid w:val="00E34D0A"/>
    <w:rsid w:val="00E358FD"/>
    <w:rsid w:val="00E365B4"/>
    <w:rsid w:val="00E3748D"/>
    <w:rsid w:val="00E37CF2"/>
    <w:rsid w:val="00E409A6"/>
    <w:rsid w:val="00E411A0"/>
    <w:rsid w:val="00E4170C"/>
    <w:rsid w:val="00E434D4"/>
    <w:rsid w:val="00E45812"/>
    <w:rsid w:val="00E46C4F"/>
    <w:rsid w:val="00E51BFE"/>
    <w:rsid w:val="00E51C99"/>
    <w:rsid w:val="00E520EB"/>
    <w:rsid w:val="00E52A49"/>
    <w:rsid w:val="00E55664"/>
    <w:rsid w:val="00E5617E"/>
    <w:rsid w:val="00E56950"/>
    <w:rsid w:val="00E60D57"/>
    <w:rsid w:val="00E60E1C"/>
    <w:rsid w:val="00E6377A"/>
    <w:rsid w:val="00E642B2"/>
    <w:rsid w:val="00E64C3C"/>
    <w:rsid w:val="00E655A2"/>
    <w:rsid w:val="00E659CE"/>
    <w:rsid w:val="00E66CB2"/>
    <w:rsid w:val="00E67000"/>
    <w:rsid w:val="00E7354B"/>
    <w:rsid w:val="00E75F18"/>
    <w:rsid w:val="00E77416"/>
    <w:rsid w:val="00E7774C"/>
    <w:rsid w:val="00E779DD"/>
    <w:rsid w:val="00E77EA7"/>
    <w:rsid w:val="00E82571"/>
    <w:rsid w:val="00E82EB9"/>
    <w:rsid w:val="00E83623"/>
    <w:rsid w:val="00E86531"/>
    <w:rsid w:val="00E86BE0"/>
    <w:rsid w:val="00E87DCC"/>
    <w:rsid w:val="00E91B4B"/>
    <w:rsid w:val="00E927D9"/>
    <w:rsid w:val="00E933BB"/>
    <w:rsid w:val="00E94E09"/>
    <w:rsid w:val="00E96372"/>
    <w:rsid w:val="00E96982"/>
    <w:rsid w:val="00EA39B4"/>
    <w:rsid w:val="00EA60F0"/>
    <w:rsid w:val="00EA7DC5"/>
    <w:rsid w:val="00EA7FA3"/>
    <w:rsid w:val="00EB40BE"/>
    <w:rsid w:val="00EC0585"/>
    <w:rsid w:val="00EC1A8C"/>
    <w:rsid w:val="00EC2295"/>
    <w:rsid w:val="00EC2F9A"/>
    <w:rsid w:val="00EC51D5"/>
    <w:rsid w:val="00EC56B6"/>
    <w:rsid w:val="00EC7D8F"/>
    <w:rsid w:val="00ED0A00"/>
    <w:rsid w:val="00ED119D"/>
    <w:rsid w:val="00ED1EC7"/>
    <w:rsid w:val="00ED34B3"/>
    <w:rsid w:val="00ED51D3"/>
    <w:rsid w:val="00ED70EB"/>
    <w:rsid w:val="00EE1A31"/>
    <w:rsid w:val="00EE1F0A"/>
    <w:rsid w:val="00EE3195"/>
    <w:rsid w:val="00EE39F3"/>
    <w:rsid w:val="00EE5BBC"/>
    <w:rsid w:val="00EE6B1D"/>
    <w:rsid w:val="00EF2592"/>
    <w:rsid w:val="00EF5648"/>
    <w:rsid w:val="00EF564A"/>
    <w:rsid w:val="00EF5971"/>
    <w:rsid w:val="00EF753C"/>
    <w:rsid w:val="00F00320"/>
    <w:rsid w:val="00F020E1"/>
    <w:rsid w:val="00F03B81"/>
    <w:rsid w:val="00F062D8"/>
    <w:rsid w:val="00F078A3"/>
    <w:rsid w:val="00F106C6"/>
    <w:rsid w:val="00F107EC"/>
    <w:rsid w:val="00F10BD7"/>
    <w:rsid w:val="00F116BC"/>
    <w:rsid w:val="00F11FED"/>
    <w:rsid w:val="00F1657C"/>
    <w:rsid w:val="00F173C6"/>
    <w:rsid w:val="00F17CF3"/>
    <w:rsid w:val="00F247A3"/>
    <w:rsid w:val="00F24ACE"/>
    <w:rsid w:val="00F25308"/>
    <w:rsid w:val="00F26887"/>
    <w:rsid w:val="00F30989"/>
    <w:rsid w:val="00F33F83"/>
    <w:rsid w:val="00F348D4"/>
    <w:rsid w:val="00F37FA0"/>
    <w:rsid w:val="00F4118E"/>
    <w:rsid w:val="00F4277A"/>
    <w:rsid w:val="00F44D1E"/>
    <w:rsid w:val="00F45608"/>
    <w:rsid w:val="00F46AFB"/>
    <w:rsid w:val="00F50D82"/>
    <w:rsid w:val="00F532BE"/>
    <w:rsid w:val="00F53C24"/>
    <w:rsid w:val="00F54172"/>
    <w:rsid w:val="00F55D8D"/>
    <w:rsid w:val="00F578E2"/>
    <w:rsid w:val="00F6090E"/>
    <w:rsid w:val="00F66D69"/>
    <w:rsid w:val="00F67935"/>
    <w:rsid w:val="00F70465"/>
    <w:rsid w:val="00F70FEB"/>
    <w:rsid w:val="00F7152C"/>
    <w:rsid w:val="00F73759"/>
    <w:rsid w:val="00F7397A"/>
    <w:rsid w:val="00F81839"/>
    <w:rsid w:val="00F81D32"/>
    <w:rsid w:val="00F860C4"/>
    <w:rsid w:val="00F902D8"/>
    <w:rsid w:val="00F93661"/>
    <w:rsid w:val="00FA0138"/>
    <w:rsid w:val="00FA3F73"/>
    <w:rsid w:val="00FA5057"/>
    <w:rsid w:val="00FA5492"/>
    <w:rsid w:val="00FA5531"/>
    <w:rsid w:val="00FA736C"/>
    <w:rsid w:val="00FB06B4"/>
    <w:rsid w:val="00FB0AC1"/>
    <w:rsid w:val="00FB5A95"/>
    <w:rsid w:val="00FB5A9A"/>
    <w:rsid w:val="00FB6E9D"/>
    <w:rsid w:val="00FC0F5A"/>
    <w:rsid w:val="00FC161D"/>
    <w:rsid w:val="00FC1DDA"/>
    <w:rsid w:val="00FC2280"/>
    <w:rsid w:val="00FC47DA"/>
    <w:rsid w:val="00FC59DC"/>
    <w:rsid w:val="00FC66D3"/>
    <w:rsid w:val="00FC6E0C"/>
    <w:rsid w:val="00FC7242"/>
    <w:rsid w:val="00FC7328"/>
    <w:rsid w:val="00FD0B3F"/>
    <w:rsid w:val="00FD17D3"/>
    <w:rsid w:val="00FD20F7"/>
    <w:rsid w:val="00FD252F"/>
    <w:rsid w:val="00FD2C56"/>
    <w:rsid w:val="00FD5895"/>
    <w:rsid w:val="00FD6A90"/>
    <w:rsid w:val="00FD79E4"/>
    <w:rsid w:val="00FE130D"/>
    <w:rsid w:val="00FE1AE2"/>
    <w:rsid w:val="00FE21E3"/>
    <w:rsid w:val="00FE2B8D"/>
    <w:rsid w:val="00FE2D47"/>
    <w:rsid w:val="00FE35D2"/>
    <w:rsid w:val="00FE6BAB"/>
    <w:rsid w:val="00FF10C8"/>
    <w:rsid w:val="00FF1390"/>
    <w:rsid w:val="00FF25DD"/>
    <w:rsid w:val="00FF7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EB654AC"/>
  <w15:docId w15:val="{F054F028-8ABE-4A48-A459-EF559CFA8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Heading2"/>
    <w:next w:val="Normal"/>
    <w:link w:val="Heading1Char"/>
    <w:qFormat/>
    <w:rsid w:val="00F53C24"/>
    <w:pPr>
      <w:spacing w:before="300" w:after="60" w:line="480" w:lineRule="exact"/>
      <w:outlineLvl w:val="0"/>
    </w:pPr>
    <w:rPr>
      <w:rFonts w:ascii="Times New Roman" w:eastAsia="Times New Roman" w:hAnsi="Times New Roman" w:cs="Times New Roman"/>
      <w:color w:val="auto"/>
      <w:kern w:val="8"/>
      <w:sz w:val="36"/>
      <w:szCs w:val="36"/>
      <w:lang w:bidi="he-IL"/>
    </w:rPr>
  </w:style>
  <w:style w:type="paragraph" w:styleId="Heading2">
    <w:name w:val="heading 2"/>
    <w:basedOn w:val="Normal"/>
    <w:next w:val="Normal"/>
    <w:link w:val="Heading2Char"/>
    <w:uiPriority w:val="9"/>
    <w:semiHidden/>
    <w:unhideWhenUsed/>
    <w:qFormat/>
    <w:rsid w:val="00F53C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37D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555"/>
    <w:pPr>
      <w:ind w:left="720"/>
      <w:contextualSpacing/>
    </w:pPr>
  </w:style>
  <w:style w:type="character" w:customStyle="1" w:styleId="Heading1Char">
    <w:name w:val="Heading 1 Char"/>
    <w:basedOn w:val="DefaultParagraphFont"/>
    <w:link w:val="Heading1"/>
    <w:rsid w:val="00F53C24"/>
    <w:rPr>
      <w:rFonts w:ascii="Times New Roman" w:eastAsia="Times New Roman" w:hAnsi="Times New Roman" w:cs="Times New Roman"/>
      <w:b/>
      <w:bCs/>
      <w:kern w:val="8"/>
      <w:sz w:val="36"/>
      <w:szCs w:val="36"/>
      <w:lang w:bidi="he-IL"/>
    </w:rPr>
  </w:style>
  <w:style w:type="character" w:customStyle="1" w:styleId="Heading2Char">
    <w:name w:val="Heading 2 Char"/>
    <w:basedOn w:val="DefaultParagraphFont"/>
    <w:link w:val="Heading2"/>
    <w:uiPriority w:val="9"/>
    <w:semiHidden/>
    <w:rsid w:val="00F53C24"/>
    <w:rPr>
      <w:rFonts w:asciiTheme="majorHAnsi" w:eastAsiaTheme="majorEastAsia" w:hAnsiTheme="majorHAnsi" w:cstheme="majorBidi"/>
      <w:b/>
      <w:bCs/>
      <w:color w:val="4F81BD" w:themeColor="accent1"/>
      <w:sz w:val="26"/>
      <w:szCs w:val="26"/>
    </w:rPr>
  </w:style>
  <w:style w:type="paragraph" w:styleId="Header">
    <w:name w:val="header"/>
    <w:aliases w:val="Left Header"/>
    <w:basedOn w:val="Normal"/>
    <w:link w:val="HeaderChar"/>
    <w:unhideWhenUsed/>
    <w:rsid w:val="00407918"/>
    <w:pPr>
      <w:tabs>
        <w:tab w:val="center" w:pos="4680"/>
        <w:tab w:val="right" w:pos="9360"/>
      </w:tabs>
      <w:spacing w:after="0" w:line="240" w:lineRule="auto"/>
    </w:pPr>
  </w:style>
  <w:style w:type="character" w:customStyle="1" w:styleId="HeaderChar">
    <w:name w:val="Header Char"/>
    <w:aliases w:val="Left Header Char"/>
    <w:basedOn w:val="DefaultParagraphFont"/>
    <w:link w:val="Header"/>
    <w:uiPriority w:val="99"/>
    <w:rsid w:val="00407918"/>
  </w:style>
  <w:style w:type="paragraph" w:styleId="Footer">
    <w:name w:val="footer"/>
    <w:basedOn w:val="Normal"/>
    <w:link w:val="FooterChar"/>
    <w:uiPriority w:val="99"/>
    <w:unhideWhenUsed/>
    <w:rsid w:val="004079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918"/>
  </w:style>
  <w:style w:type="table" w:styleId="TableGrid">
    <w:name w:val="Table Grid"/>
    <w:basedOn w:val="TableNormal"/>
    <w:uiPriority w:val="59"/>
    <w:rsid w:val="003B5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A0669"/>
    <w:rPr>
      <w:sz w:val="16"/>
      <w:szCs w:val="16"/>
    </w:rPr>
  </w:style>
  <w:style w:type="paragraph" w:styleId="CommentText">
    <w:name w:val="annotation text"/>
    <w:basedOn w:val="Normal"/>
    <w:link w:val="CommentTextChar"/>
    <w:uiPriority w:val="99"/>
    <w:semiHidden/>
    <w:unhideWhenUsed/>
    <w:rsid w:val="005A0669"/>
    <w:pPr>
      <w:spacing w:line="240" w:lineRule="auto"/>
    </w:pPr>
    <w:rPr>
      <w:sz w:val="20"/>
      <w:szCs w:val="20"/>
    </w:rPr>
  </w:style>
  <w:style w:type="character" w:customStyle="1" w:styleId="CommentTextChar">
    <w:name w:val="Comment Text Char"/>
    <w:basedOn w:val="DefaultParagraphFont"/>
    <w:link w:val="CommentText"/>
    <w:uiPriority w:val="99"/>
    <w:semiHidden/>
    <w:rsid w:val="005A0669"/>
    <w:rPr>
      <w:sz w:val="20"/>
      <w:szCs w:val="20"/>
    </w:rPr>
  </w:style>
  <w:style w:type="paragraph" w:styleId="CommentSubject">
    <w:name w:val="annotation subject"/>
    <w:basedOn w:val="CommentText"/>
    <w:next w:val="CommentText"/>
    <w:link w:val="CommentSubjectChar"/>
    <w:uiPriority w:val="99"/>
    <w:semiHidden/>
    <w:unhideWhenUsed/>
    <w:rsid w:val="005A0669"/>
    <w:rPr>
      <w:b/>
      <w:bCs/>
    </w:rPr>
  </w:style>
  <w:style w:type="character" w:customStyle="1" w:styleId="CommentSubjectChar">
    <w:name w:val="Comment Subject Char"/>
    <w:basedOn w:val="CommentTextChar"/>
    <w:link w:val="CommentSubject"/>
    <w:uiPriority w:val="99"/>
    <w:semiHidden/>
    <w:rsid w:val="005A0669"/>
    <w:rPr>
      <w:b/>
      <w:bCs/>
      <w:sz w:val="20"/>
      <w:szCs w:val="20"/>
    </w:rPr>
  </w:style>
  <w:style w:type="paragraph" w:styleId="BalloonText">
    <w:name w:val="Balloon Text"/>
    <w:basedOn w:val="Normal"/>
    <w:link w:val="BalloonTextChar"/>
    <w:uiPriority w:val="99"/>
    <w:semiHidden/>
    <w:unhideWhenUsed/>
    <w:rsid w:val="005A06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669"/>
    <w:rPr>
      <w:rFonts w:ascii="Tahoma" w:hAnsi="Tahoma" w:cs="Tahoma"/>
      <w:sz w:val="16"/>
      <w:szCs w:val="16"/>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Footnote, Cha,Cha,C"/>
    <w:basedOn w:val="Normal"/>
    <w:link w:val="FootnoteTextChar"/>
    <w:uiPriority w:val="99"/>
    <w:unhideWhenUsed/>
    <w:rsid w:val="00FC59DC"/>
    <w:pPr>
      <w:spacing w:after="0" w:line="240" w:lineRule="auto"/>
    </w:pPr>
    <w:rPr>
      <w:sz w:val="20"/>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 Cha Char"/>
    <w:basedOn w:val="DefaultParagraphFont"/>
    <w:link w:val="FootnoteText"/>
    <w:uiPriority w:val="99"/>
    <w:rsid w:val="00FC59DC"/>
    <w:rPr>
      <w:sz w:val="20"/>
      <w:szCs w:val="20"/>
    </w:rPr>
  </w:style>
  <w:style w:type="character" w:styleId="FootnoteReference">
    <w:name w:val="footnote reference"/>
    <w:aliases w:val="Footnote reference number,Footnote symbol,note TESI"/>
    <w:basedOn w:val="DefaultParagraphFont"/>
    <w:uiPriority w:val="99"/>
    <w:unhideWhenUsed/>
    <w:rsid w:val="00FC59DC"/>
    <w:rPr>
      <w:vertAlign w:val="superscript"/>
    </w:rPr>
  </w:style>
  <w:style w:type="paragraph" w:styleId="PlainText">
    <w:name w:val="Plain Text"/>
    <w:basedOn w:val="Normal"/>
    <w:link w:val="PlainTextChar"/>
    <w:uiPriority w:val="99"/>
    <w:unhideWhenUsed/>
    <w:rsid w:val="004A3EE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A3EE4"/>
    <w:rPr>
      <w:rFonts w:ascii="Consolas" w:eastAsia="Calibri" w:hAnsi="Consolas" w:cs="Times New Roman"/>
      <w:sz w:val="21"/>
      <w:szCs w:val="21"/>
    </w:rPr>
  </w:style>
  <w:style w:type="paragraph" w:styleId="BodyText">
    <w:name w:val="Body Text"/>
    <w:aliases w:val="Body Text Char1,Body Text Char Char,Body Text Char1 Char,Body Text Char Char Char"/>
    <w:basedOn w:val="Normal"/>
    <w:link w:val="BodyTextChar"/>
    <w:rsid w:val="004A3EE4"/>
    <w:pPr>
      <w:spacing w:after="0" w:line="280" w:lineRule="exact"/>
      <w:jc w:val="both"/>
    </w:pPr>
    <w:rPr>
      <w:rFonts w:ascii="Times New Roman" w:eastAsia="Times New Roman" w:hAnsi="Times New Roman" w:cs="Times New Roman"/>
      <w:kern w:val="8"/>
      <w:sz w:val="24"/>
      <w:szCs w:val="24"/>
      <w:lang w:bidi="he-IL"/>
    </w:rPr>
  </w:style>
  <w:style w:type="character" w:customStyle="1" w:styleId="BodyTextChar">
    <w:name w:val="Body Text Char"/>
    <w:aliases w:val="Body Text Char1 Char1,Body Text Char Char Char1,Body Text Char1 Char Char,Body Text Char Char Char Char"/>
    <w:basedOn w:val="DefaultParagraphFont"/>
    <w:link w:val="BodyText"/>
    <w:rsid w:val="004A3EE4"/>
    <w:rPr>
      <w:rFonts w:ascii="Times New Roman" w:eastAsia="Times New Roman" w:hAnsi="Times New Roman" w:cs="Times New Roman"/>
      <w:kern w:val="8"/>
      <w:sz w:val="24"/>
      <w:szCs w:val="24"/>
      <w:lang w:bidi="he-IL"/>
    </w:rPr>
  </w:style>
  <w:style w:type="character" w:styleId="Hyperlink">
    <w:name w:val="Hyperlink"/>
    <w:uiPriority w:val="99"/>
    <w:unhideWhenUsed/>
    <w:rsid w:val="004A3EE4"/>
    <w:rPr>
      <w:color w:val="0000FF"/>
      <w:u w:val="single"/>
    </w:rPr>
  </w:style>
  <w:style w:type="paragraph" w:customStyle="1" w:styleId="Default">
    <w:name w:val="Default"/>
    <w:rsid w:val="004A3EE4"/>
    <w:pPr>
      <w:autoSpaceDE w:val="0"/>
      <w:autoSpaceDN w:val="0"/>
      <w:adjustRightInd w:val="0"/>
      <w:spacing w:after="0" w:line="240" w:lineRule="auto"/>
    </w:pPr>
    <w:rPr>
      <w:rFonts w:ascii="Arial" w:eastAsia="Calibri" w:hAnsi="Arial" w:cs="Arial"/>
      <w:color w:val="000000"/>
      <w:sz w:val="24"/>
      <w:szCs w:val="24"/>
    </w:rPr>
  </w:style>
  <w:style w:type="character" w:styleId="FollowedHyperlink">
    <w:name w:val="FollowedHyperlink"/>
    <w:basedOn w:val="DefaultParagraphFont"/>
    <w:uiPriority w:val="99"/>
    <w:semiHidden/>
    <w:unhideWhenUsed/>
    <w:rsid w:val="00624990"/>
    <w:rPr>
      <w:color w:val="800080" w:themeColor="followedHyperlink"/>
      <w:u w:val="single"/>
    </w:rPr>
  </w:style>
  <w:style w:type="paragraph" w:styleId="Revision">
    <w:name w:val="Revision"/>
    <w:hidden/>
    <w:uiPriority w:val="99"/>
    <w:semiHidden/>
    <w:rsid w:val="00047912"/>
    <w:pPr>
      <w:spacing w:after="0" w:line="240" w:lineRule="auto"/>
    </w:pPr>
  </w:style>
  <w:style w:type="paragraph" w:customStyle="1" w:styleId="IFACListStyle1">
    <w:name w:val="IFAC ListStyle 1"/>
    <w:aliases w:val="ls1,ListStyle 1"/>
    <w:basedOn w:val="Normal"/>
    <w:qFormat/>
    <w:rsid w:val="00CE3F50"/>
    <w:pPr>
      <w:numPr>
        <w:numId w:val="4"/>
      </w:numPr>
      <w:spacing w:before="120" w:after="0" w:line="280" w:lineRule="exact"/>
      <w:jc w:val="both"/>
    </w:pPr>
    <w:rPr>
      <w:rFonts w:ascii="Times New Roman" w:eastAsia="Times New Roman" w:hAnsi="Times New Roman" w:cs="Times New Roman"/>
      <w:kern w:val="8"/>
      <w:sz w:val="24"/>
      <w:szCs w:val="24"/>
      <w:lang w:bidi="he-IL"/>
    </w:rPr>
  </w:style>
  <w:style w:type="paragraph" w:customStyle="1" w:styleId="IFACListStyle2">
    <w:name w:val="IFAC ListStyle 2"/>
    <w:aliases w:val="ls2,ListStyle 2"/>
    <w:basedOn w:val="Normal"/>
    <w:qFormat/>
    <w:rsid w:val="00CE3F50"/>
    <w:pPr>
      <w:numPr>
        <w:ilvl w:val="1"/>
        <w:numId w:val="4"/>
      </w:numPr>
      <w:spacing w:before="120" w:after="0" w:line="280" w:lineRule="exact"/>
      <w:jc w:val="both"/>
    </w:pPr>
    <w:rPr>
      <w:rFonts w:ascii="Times New Roman" w:eastAsia="Times New Roman" w:hAnsi="Times New Roman" w:cs="Times New Roman"/>
      <w:kern w:val="8"/>
      <w:sz w:val="24"/>
      <w:szCs w:val="24"/>
      <w:lang w:bidi="he-IL"/>
    </w:rPr>
  </w:style>
  <w:style w:type="paragraph" w:customStyle="1" w:styleId="IFACListStyle3">
    <w:name w:val="IFAC ListStyle 3"/>
    <w:aliases w:val="ls3,ListStyle 3"/>
    <w:basedOn w:val="Normal"/>
    <w:qFormat/>
    <w:rsid w:val="00CE3F50"/>
    <w:pPr>
      <w:numPr>
        <w:ilvl w:val="2"/>
        <w:numId w:val="4"/>
      </w:numPr>
      <w:spacing w:before="120" w:after="0" w:line="280" w:lineRule="exact"/>
      <w:jc w:val="both"/>
    </w:pPr>
    <w:rPr>
      <w:rFonts w:ascii="Times New Roman" w:eastAsia="Times New Roman" w:hAnsi="Times New Roman" w:cs="Times New Roman"/>
      <w:kern w:val="8"/>
      <w:sz w:val="24"/>
      <w:szCs w:val="24"/>
      <w:lang w:bidi="he-IL"/>
    </w:rPr>
  </w:style>
  <w:style w:type="paragraph" w:customStyle="1" w:styleId="IFACListStyle4">
    <w:name w:val="IFAC ListStyle 4"/>
    <w:aliases w:val="ls4,ListStyle 4"/>
    <w:basedOn w:val="Normal"/>
    <w:qFormat/>
    <w:rsid w:val="00CE3F50"/>
    <w:pPr>
      <w:numPr>
        <w:ilvl w:val="3"/>
        <w:numId w:val="4"/>
      </w:numPr>
      <w:spacing w:before="120" w:after="0" w:line="280" w:lineRule="exact"/>
      <w:jc w:val="both"/>
    </w:pPr>
    <w:rPr>
      <w:rFonts w:ascii="Times New Roman" w:eastAsia="Times New Roman" w:hAnsi="Times New Roman" w:cs="Times New Roman"/>
      <w:kern w:val="8"/>
      <w:sz w:val="24"/>
      <w:szCs w:val="24"/>
      <w:lang w:bidi="he-IL"/>
    </w:rPr>
  </w:style>
  <w:style w:type="character" w:styleId="Emphasis">
    <w:name w:val="Emphasis"/>
    <w:basedOn w:val="DefaultParagraphFont"/>
    <w:uiPriority w:val="20"/>
    <w:qFormat/>
    <w:rsid w:val="0007767A"/>
    <w:rPr>
      <w:rFonts w:ascii="Arial" w:hAnsi="Arial" w:cs="Arial" w:hint="default"/>
      <w:i/>
      <w:iCs/>
    </w:rPr>
  </w:style>
  <w:style w:type="paragraph" w:customStyle="1" w:styleId="Level1heading">
    <w:name w:val="Level 1 heading"/>
    <w:basedOn w:val="Normal"/>
    <w:rsid w:val="0068586D"/>
    <w:pPr>
      <w:spacing w:before="200" w:after="80" w:line="280" w:lineRule="exact"/>
      <w:ind w:left="360" w:hanging="360"/>
      <w:jc w:val="both"/>
    </w:pPr>
    <w:rPr>
      <w:rFonts w:ascii="Helvetica" w:eastAsia="Times New Roman" w:hAnsi="Helvetica" w:cs="Times New Roman"/>
      <w:b/>
      <w:sz w:val="24"/>
      <w:szCs w:val="20"/>
    </w:rPr>
  </w:style>
  <w:style w:type="character" w:customStyle="1" w:styleId="ARMfootnoteTextChar2">
    <w:name w:val="ARM footnote Text Char2"/>
    <w:aliases w:val="Footnote Text Char2 Char2,Footnote Text Char11 Char2,Footnote Text Char3 Char2,Footnote Text Char4 Char2,Footnote Text Char5 Char2,Footnote Text Char6 Char2,Footnote Text Char12 Char1,Footnote Text Char21 Char"/>
    <w:semiHidden/>
    <w:rsid w:val="002D3AFA"/>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D63B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63B61"/>
    <w:rPr>
      <w:sz w:val="20"/>
      <w:szCs w:val="20"/>
    </w:rPr>
  </w:style>
  <w:style w:type="character" w:styleId="EndnoteReference">
    <w:name w:val="endnote reference"/>
    <w:basedOn w:val="DefaultParagraphFont"/>
    <w:uiPriority w:val="99"/>
    <w:semiHidden/>
    <w:unhideWhenUsed/>
    <w:rsid w:val="00D63B61"/>
    <w:rPr>
      <w:vertAlign w:val="superscript"/>
    </w:rPr>
  </w:style>
  <w:style w:type="character" w:customStyle="1" w:styleId="FootnoteTextChar8">
    <w:name w:val="Footnote Text Char8"/>
    <w:aliases w:val="Footnote Text Char Char1,ARM footnote Text Char1,Footnote Text Char1 Char1,Footnote Text Char2 Char1,Footnote Text Char11 Char1,Footnote Text Char3 Char1,Footnote Text Char4 Char1,Footnote Text Char5 Char1,Footnote Text Char6 Char1"/>
    <w:uiPriority w:val="99"/>
    <w:semiHidden/>
    <w:locked/>
    <w:rsid w:val="004E6571"/>
    <w:rPr>
      <w:rFonts w:cs="Times New Roman"/>
      <w:kern w:val="8"/>
      <w:lang w:val="en-US" w:eastAsia="en-US" w:bidi="he-IL"/>
    </w:rPr>
  </w:style>
  <w:style w:type="paragraph" w:customStyle="1" w:styleId="Heading3SectionHeadingsNormalStylePlus">
    <w:name w:val="Heading 3 (Section Headings): Normal Style Plus:"/>
    <w:basedOn w:val="Heading3"/>
    <w:rsid w:val="00D37D07"/>
    <w:pPr>
      <w:spacing w:before="240" w:line="280" w:lineRule="exact"/>
    </w:pPr>
    <w:rPr>
      <w:rFonts w:ascii="Times New Roman" w:eastAsia="Times New Roman" w:hAnsi="Times New Roman" w:cs="Times New Roman"/>
      <w:color w:val="auto"/>
      <w:kern w:val="20"/>
      <w:sz w:val="24"/>
      <w:szCs w:val="20"/>
    </w:rPr>
  </w:style>
  <w:style w:type="character" w:customStyle="1" w:styleId="Heading3Char">
    <w:name w:val="Heading 3 Char"/>
    <w:basedOn w:val="DefaultParagraphFont"/>
    <w:link w:val="Heading3"/>
    <w:uiPriority w:val="9"/>
    <w:semiHidden/>
    <w:rsid w:val="00D37D07"/>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CA1DAF"/>
    <w:rPr>
      <w:b/>
      <w:bCs/>
    </w:rPr>
  </w:style>
  <w:style w:type="table" w:customStyle="1" w:styleId="TableGrid1">
    <w:name w:val="Table Grid1"/>
    <w:basedOn w:val="TableNormal"/>
    <w:next w:val="TableGrid"/>
    <w:uiPriority w:val="59"/>
    <w:rsid w:val="00231092"/>
    <w:pPr>
      <w:spacing w:after="0" w:line="280" w:lineRule="exact"/>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69341">
      <w:bodyDiv w:val="1"/>
      <w:marLeft w:val="0"/>
      <w:marRight w:val="0"/>
      <w:marTop w:val="0"/>
      <w:marBottom w:val="0"/>
      <w:divBdr>
        <w:top w:val="none" w:sz="0" w:space="0" w:color="auto"/>
        <w:left w:val="none" w:sz="0" w:space="0" w:color="auto"/>
        <w:bottom w:val="none" w:sz="0" w:space="0" w:color="auto"/>
        <w:right w:val="none" w:sz="0" w:space="0" w:color="auto"/>
      </w:divBdr>
    </w:div>
    <w:div w:id="212467940">
      <w:bodyDiv w:val="1"/>
      <w:marLeft w:val="0"/>
      <w:marRight w:val="0"/>
      <w:marTop w:val="0"/>
      <w:marBottom w:val="0"/>
      <w:divBdr>
        <w:top w:val="none" w:sz="0" w:space="0" w:color="auto"/>
        <w:left w:val="none" w:sz="0" w:space="0" w:color="auto"/>
        <w:bottom w:val="none" w:sz="0" w:space="0" w:color="auto"/>
        <w:right w:val="none" w:sz="0" w:space="0" w:color="auto"/>
      </w:divBdr>
    </w:div>
    <w:div w:id="321012677">
      <w:bodyDiv w:val="1"/>
      <w:marLeft w:val="0"/>
      <w:marRight w:val="0"/>
      <w:marTop w:val="0"/>
      <w:marBottom w:val="0"/>
      <w:divBdr>
        <w:top w:val="none" w:sz="0" w:space="0" w:color="auto"/>
        <w:left w:val="none" w:sz="0" w:space="0" w:color="auto"/>
        <w:bottom w:val="none" w:sz="0" w:space="0" w:color="auto"/>
        <w:right w:val="none" w:sz="0" w:space="0" w:color="auto"/>
      </w:divBdr>
    </w:div>
    <w:div w:id="324550781">
      <w:bodyDiv w:val="1"/>
      <w:marLeft w:val="0"/>
      <w:marRight w:val="0"/>
      <w:marTop w:val="0"/>
      <w:marBottom w:val="0"/>
      <w:divBdr>
        <w:top w:val="none" w:sz="0" w:space="0" w:color="auto"/>
        <w:left w:val="none" w:sz="0" w:space="0" w:color="auto"/>
        <w:bottom w:val="none" w:sz="0" w:space="0" w:color="auto"/>
        <w:right w:val="none" w:sz="0" w:space="0" w:color="auto"/>
      </w:divBdr>
    </w:div>
    <w:div w:id="997726159">
      <w:bodyDiv w:val="1"/>
      <w:marLeft w:val="0"/>
      <w:marRight w:val="0"/>
      <w:marTop w:val="0"/>
      <w:marBottom w:val="0"/>
      <w:divBdr>
        <w:top w:val="none" w:sz="0" w:space="0" w:color="auto"/>
        <w:left w:val="none" w:sz="0" w:space="0" w:color="auto"/>
        <w:bottom w:val="none" w:sz="0" w:space="0" w:color="auto"/>
        <w:right w:val="none" w:sz="0" w:space="0" w:color="auto"/>
      </w:divBdr>
    </w:div>
    <w:div w:id="1078289057">
      <w:bodyDiv w:val="1"/>
      <w:marLeft w:val="0"/>
      <w:marRight w:val="0"/>
      <w:marTop w:val="0"/>
      <w:marBottom w:val="0"/>
      <w:divBdr>
        <w:top w:val="none" w:sz="0" w:space="0" w:color="auto"/>
        <w:left w:val="none" w:sz="0" w:space="0" w:color="auto"/>
        <w:bottom w:val="none" w:sz="0" w:space="0" w:color="auto"/>
        <w:right w:val="none" w:sz="0" w:space="0" w:color="auto"/>
      </w:divBdr>
    </w:div>
    <w:div w:id="1347488336">
      <w:bodyDiv w:val="1"/>
      <w:marLeft w:val="0"/>
      <w:marRight w:val="0"/>
      <w:marTop w:val="0"/>
      <w:marBottom w:val="0"/>
      <w:divBdr>
        <w:top w:val="none" w:sz="0" w:space="0" w:color="auto"/>
        <w:left w:val="none" w:sz="0" w:space="0" w:color="auto"/>
        <w:bottom w:val="none" w:sz="0" w:space="0" w:color="auto"/>
        <w:right w:val="none" w:sz="0" w:space="0" w:color="auto"/>
      </w:divBdr>
    </w:div>
    <w:div w:id="1362826009">
      <w:bodyDiv w:val="1"/>
      <w:marLeft w:val="0"/>
      <w:marRight w:val="0"/>
      <w:marTop w:val="0"/>
      <w:marBottom w:val="0"/>
      <w:divBdr>
        <w:top w:val="none" w:sz="0" w:space="0" w:color="auto"/>
        <w:left w:val="none" w:sz="0" w:space="0" w:color="auto"/>
        <w:bottom w:val="none" w:sz="0" w:space="0" w:color="auto"/>
        <w:right w:val="none" w:sz="0" w:space="0" w:color="auto"/>
      </w:divBdr>
    </w:div>
    <w:div w:id="1499880485">
      <w:bodyDiv w:val="1"/>
      <w:marLeft w:val="0"/>
      <w:marRight w:val="0"/>
      <w:marTop w:val="0"/>
      <w:marBottom w:val="0"/>
      <w:divBdr>
        <w:top w:val="none" w:sz="0" w:space="0" w:color="auto"/>
        <w:left w:val="none" w:sz="0" w:space="0" w:color="auto"/>
        <w:bottom w:val="none" w:sz="0" w:space="0" w:color="auto"/>
        <w:right w:val="none" w:sz="0" w:space="0" w:color="auto"/>
      </w:divBdr>
    </w:div>
    <w:div w:id="1523862656">
      <w:bodyDiv w:val="1"/>
      <w:marLeft w:val="0"/>
      <w:marRight w:val="0"/>
      <w:marTop w:val="0"/>
      <w:marBottom w:val="0"/>
      <w:divBdr>
        <w:top w:val="none" w:sz="0" w:space="0" w:color="auto"/>
        <w:left w:val="none" w:sz="0" w:space="0" w:color="auto"/>
        <w:bottom w:val="none" w:sz="0" w:space="0" w:color="auto"/>
        <w:right w:val="none" w:sz="0" w:space="0" w:color="auto"/>
      </w:divBdr>
    </w:div>
    <w:div w:id="189349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8298C-5747-4AF8-9D50-1FA81184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djules</dc:creator>
  <cp:lastModifiedBy>Elizabeth Higgs</cp:lastModifiedBy>
  <cp:revision>7</cp:revision>
  <cp:lastPrinted>2014-06-17T16:22:00Z</cp:lastPrinted>
  <dcterms:created xsi:type="dcterms:W3CDTF">2014-06-17T12:56:00Z</dcterms:created>
  <dcterms:modified xsi:type="dcterms:W3CDTF">2014-06-17T16:32:00Z</dcterms:modified>
</cp:coreProperties>
</file>